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222CB" w14:textId="4303A766" w:rsidR="006D36D1" w:rsidRDefault="006D36D1" w:rsidP="0043387B">
      <w:pPr>
        <w:pStyle w:val="Heading3"/>
        <w:ind w:left="709"/>
      </w:pPr>
      <w:bookmarkStart w:id="0" w:name="_Toc205302047"/>
      <w:r>
        <w:t xml:space="preserve">ANNEX </w:t>
      </w:r>
      <w:r w:rsidR="76AEC158">
        <w:t>5</w:t>
      </w:r>
    </w:p>
    <w:p w14:paraId="678CA00A" w14:textId="49C01713" w:rsidR="002C6CD3" w:rsidRDefault="0097522F" w:rsidP="0043387B">
      <w:pPr>
        <w:pStyle w:val="Heading3"/>
        <w:ind w:left="709"/>
      </w:pPr>
      <w:r>
        <w:t>Explicit Charging Metrics</w:t>
      </w:r>
      <w:bookmarkEnd w:id="0"/>
    </w:p>
    <w:p w14:paraId="678CA00B" w14:textId="762D46A4" w:rsidR="002C6CD3" w:rsidRDefault="00FA010C" w:rsidP="0043387B">
      <w:pPr>
        <w:ind w:left="-142"/>
      </w:pPr>
      <w:r>
        <w:t>K7.5</w:t>
      </w:r>
      <w:r>
        <w:tab/>
      </w:r>
      <w:r w:rsidR="0097522F">
        <w:t>The Explicit Charging Metrics for each Party and the Charging Period for each month are as follows:</w:t>
      </w:r>
    </w:p>
    <w:p w14:paraId="678CA00C" w14:textId="77777777" w:rsidR="002C6CD3" w:rsidRDefault="0097522F">
      <w:pPr>
        <w:numPr>
          <w:ilvl w:val="3"/>
          <w:numId w:val="26"/>
        </w:numPr>
        <w:ind w:left="1600"/>
      </w:pPr>
      <w:r>
        <w:t>(</w:t>
      </w:r>
      <w:r>
        <w:rPr>
          <w:i/>
        </w:rPr>
        <w:t>'security assessments'</w:t>
      </w:r>
      <w:r>
        <w:t>) an obligation to pay arising during that Charging Period in respect of that Party pursuant to Section G8.51 (Users: Obligation to Pay Charges) in relation to User Security Assessments, Follow-up Security Assessments, User Security Assessment Reports or the activities of the Independent Security Assurance Service Provider;</w:t>
      </w:r>
    </w:p>
    <w:p w14:paraId="678CA00D" w14:textId="77777777" w:rsidR="002C6CD3" w:rsidRDefault="0097522F">
      <w:pPr>
        <w:numPr>
          <w:ilvl w:val="3"/>
          <w:numId w:val="26"/>
        </w:numPr>
        <w:ind w:left="1600"/>
      </w:pPr>
      <w:r>
        <w:t>(</w:t>
      </w:r>
      <w:r>
        <w:rPr>
          <w:i/>
        </w:rPr>
        <w:t>'privacy assessments'</w:t>
      </w:r>
      <w:r>
        <w:t>) an obligation to pay arising during that Charging Period in respect of that Party pursuant to Section I2.40 (Users: Obligation to Pay Charges) in relation to Full Privacy Assessments, Random Sample Privacy Assessments, Privacy Assessment Reports or the activities of the Independent Privacy Auditor;</w:t>
      </w:r>
    </w:p>
    <w:p w14:paraId="678CA00E" w14:textId="002F3DCB" w:rsidR="002C6CD3" w:rsidRDefault="0097522F">
      <w:pPr>
        <w:numPr>
          <w:ilvl w:val="3"/>
          <w:numId w:val="26"/>
        </w:numPr>
        <w:ind w:left="1600"/>
      </w:pPr>
      <w:r>
        <w:t>(</w:t>
      </w:r>
      <w:r>
        <w:rPr>
          <w:i/>
        </w:rPr>
        <w:t>'</w:t>
      </w:r>
      <w:del w:id="1" w:author="Author">
        <w:r w:rsidDel="002B5413">
          <w:rPr>
            <w:i/>
          </w:rPr>
          <w:delText xml:space="preserve">LV </w:delText>
        </w:r>
      </w:del>
      <w:r>
        <w:rPr>
          <w:i/>
        </w:rPr>
        <w:t>gateway connection'</w:t>
      </w:r>
      <w:r>
        <w:t xml:space="preserve">) an obligation to pay arising during that Charging Period in accordance with an offer for a DCC Gateway </w:t>
      </w:r>
      <w:del w:id="2" w:author="Author">
        <w:r w:rsidDel="002B5413">
          <w:delText xml:space="preserve">LV </w:delText>
        </w:r>
      </w:del>
      <w:r>
        <w:t xml:space="preserve">Connection </w:t>
      </w:r>
      <w:ins w:id="3" w:author="Author">
        <w:r w:rsidR="002B5413">
          <w:t xml:space="preserve">and associated DCC Gateway Bandwidth Option (and where applicable, speed) </w:t>
        </w:r>
      </w:ins>
      <w:r>
        <w:t>accepted by that Party pursuant to Section H15 (DCC Gateway Connections), including where the obligation to pay is preserved under Section H15.19(b) (Ongoing Provision of a DCC Gateway Connection);</w:t>
      </w:r>
    </w:p>
    <w:p w14:paraId="78C38C9F" w14:textId="644EE0C9" w:rsidR="002B5413" w:rsidRDefault="00C40FAF" w:rsidP="000655D2">
      <w:pPr>
        <w:pStyle w:val="ListParagraph"/>
        <w:numPr>
          <w:ilvl w:val="3"/>
          <w:numId w:val="26"/>
        </w:numPr>
        <w:ind w:left="1600"/>
        <w:rPr>
          <w:ins w:id="4" w:author="Author"/>
        </w:rPr>
      </w:pPr>
      <w:ins w:id="5" w:author="Author">
        <w:r>
          <w:t xml:space="preserve">  (</w:t>
        </w:r>
        <w:r w:rsidR="00D85938" w:rsidRPr="00F31118">
          <w:rPr>
            <w:i/>
            <w:iCs/>
          </w:rPr>
          <w:t>'</w:t>
        </w:r>
        <w:r w:rsidR="007C4466" w:rsidRPr="00F31118">
          <w:rPr>
            <w:i/>
            <w:iCs/>
          </w:rPr>
          <w:t xml:space="preserve">DCC </w:t>
        </w:r>
        <w:r w:rsidRPr="00F31118">
          <w:rPr>
            <w:i/>
            <w:iCs/>
          </w:rPr>
          <w:t>gateway site visit</w:t>
        </w:r>
        <w:r w:rsidR="00D85938" w:rsidRPr="00F31118">
          <w:rPr>
            <w:i/>
            <w:iCs/>
          </w:rPr>
          <w:t>'</w:t>
        </w:r>
        <w:r>
          <w:t xml:space="preserve">) an obligation to pay </w:t>
        </w:r>
        <w:r w:rsidR="00C64B44">
          <w:t xml:space="preserve">arising during that Charging Period </w:t>
        </w:r>
        <w:r>
          <w:t xml:space="preserve">the costs that DCC has incurred in making a visit to the premises of a DCC Gateway Party in order to carry out a </w:t>
        </w:r>
        <w:r w:rsidR="00F10056">
          <w:t>Site Survey</w:t>
        </w:r>
        <w:r>
          <w:t>; or to install, maintain</w:t>
        </w:r>
        <w:r w:rsidR="00E91395">
          <w:t>, relocate</w:t>
        </w:r>
        <w:r>
          <w:t xml:space="preserve"> or remove DCC Gateway Equipment, </w:t>
        </w:r>
        <w:r w:rsidR="009719B1">
          <w:t>and</w:t>
        </w:r>
        <w:r w:rsidR="003B5B36">
          <w:t xml:space="preserve"> includes where</w:t>
        </w:r>
        <w:r>
          <w:t xml:space="preserve"> the DCC has been unable to complete the purpose of the visit due to the actions (or inaction) of a DCC Gateway Party, or in circumstances where a site visit has occurred and the DCC Gateway Party has elected not to accept DCC’s offer</w:t>
        </w:r>
        <w:r w:rsidR="002B5413">
          <w:t>;</w:t>
        </w:r>
      </w:ins>
    </w:p>
    <w:p w14:paraId="28DB974C" w14:textId="6537D45F" w:rsidR="00194692" w:rsidDel="000F4579" w:rsidRDefault="00976FD0" w:rsidP="008D776B">
      <w:pPr>
        <w:tabs>
          <w:tab w:val="left" w:pos="1701"/>
        </w:tabs>
        <w:ind w:left="900"/>
        <w:rPr>
          <w:ins w:id="6" w:author="Author"/>
          <w:del w:id="7" w:author="Author"/>
        </w:rPr>
      </w:pPr>
      <w:ins w:id="8" w:author="Author">
        <w:r>
          <w:t>(da)</w:t>
        </w:r>
        <w:r>
          <w:tab/>
          <w:t>(</w:t>
        </w:r>
        <w:r w:rsidR="009B45F5" w:rsidRPr="45A7813C">
          <w:rPr>
            <w:i/>
            <w:iCs/>
          </w:rPr>
          <w:t>'</w:t>
        </w:r>
        <w:r w:rsidRPr="45A7813C">
          <w:rPr>
            <w:i/>
            <w:iCs/>
          </w:rPr>
          <w:t xml:space="preserve">change in gateway </w:t>
        </w:r>
        <w:r w:rsidR="00681704" w:rsidRPr="45A7813C">
          <w:rPr>
            <w:i/>
            <w:iCs/>
          </w:rPr>
          <w:t>bandwidth</w:t>
        </w:r>
        <w:r w:rsidR="009B45F5" w:rsidRPr="45A7813C">
          <w:rPr>
            <w:i/>
            <w:iCs/>
          </w:rPr>
          <w:t>'</w:t>
        </w:r>
        <w:r>
          <w:t xml:space="preserve">) an obligation to pay the costs </w:t>
        </w:r>
        <w:r w:rsidR="00CC79F2">
          <w:t xml:space="preserve">arising during that Charging Period </w:t>
        </w:r>
        <w:r w:rsidR="004F1635">
          <w:t xml:space="preserve">that DCC has incurred in </w:t>
        </w:r>
        <w:r w:rsidR="003C470F">
          <w:t xml:space="preserve">changing the </w:t>
        </w:r>
        <w:r w:rsidR="005B497B">
          <w:t xml:space="preserve">Contractual Bandwidth </w:t>
        </w:r>
        <w:r w:rsidR="00796A10" w:rsidRPr="00796A10">
          <w:t>of the DCC Gateway HV Physical Connection or DCC Gateway HV Cloud Connection provided to that Party</w:t>
        </w:r>
        <w:r w:rsidR="005B1CC4">
          <w:t xml:space="preserve"> under </w:t>
        </w:r>
        <w:r w:rsidR="00F779BE">
          <w:t>Section H15.18</w:t>
        </w:r>
        <w:r w:rsidR="00BC6FC7">
          <w:t>(f) (</w:t>
        </w:r>
        <w:r w:rsidR="00BC6FC7" w:rsidRPr="00BC6FC7">
          <w:t>Ongoing Provision of a DCC Gateway Connection</w:t>
        </w:r>
        <w:r w:rsidR="00BC6FC7">
          <w:t>)</w:t>
        </w:r>
        <w:r w:rsidR="0013584D">
          <w:t>;</w:t>
        </w:r>
      </w:ins>
    </w:p>
    <w:p w14:paraId="2D967F05" w14:textId="57627F89" w:rsidR="00930D9A" w:rsidRDefault="0097522F" w:rsidP="008D776B">
      <w:pPr>
        <w:ind w:left="900"/>
      </w:pPr>
      <w:del w:id="9" w:author="Author">
        <w:r w:rsidDel="002B5413">
          <w:delText>('</w:delText>
        </w:r>
        <w:r w:rsidRPr="000655D2" w:rsidDel="002B5413">
          <w:delText>HV gateway connection</w:delText>
        </w:r>
        <w:r w:rsidDel="002B5413">
          <w:delText>') an obligation to pay arising during that Charging Period in accordance with an offer for a DCC Gateway HV Connection accepted by that Party pursuant to Section H15 (DCC Gateway Connections), including where the obligation to pay is preserved under Section H15.19(b) (Ongoing Provision of a DCC Gateway Connection);</w:delText>
        </w:r>
      </w:del>
    </w:p>
    <w:p w14:paraId="3307F024" w14:textId="09FF8B3E" w:rsidR="00E01056" w:rsidDel="001A3C40" w:rsidRDefault="00E01056" w:rsidP="00C36C16">
      <w:pPr>
        <w:contextualSpacing/>
        <w:rPr>
          <w:del w:id="10" w:author="Author"/>
        </w:rPr>
      </w:pPr>
    </w:p>
    <w:p w14:paraId="678CA010" w14:textId="59A0C7C0" w:rsidR="002C6CD3" w:rsidRPr="00EB4E05" w:rsidRDefault="0097522F" w:rsidP="000655D2">
      <w:pPr>
        <w:numPr>
          <w:ilvl w:val="3"/>
          <w:numId w:val="26"/>
        </w:numPr>
        <w:ind w:left="1600"/>
        <w:rPr>
          <w:ins w:id="11" w:author="Author"/>
        </w:rPr>
      </w:pPr>
      <w:r>
        <w:t>('</w:t>
      </w:r>
      <w:ins w:id="12" w:author="Author">
        <w:r w:rsidR="00953214" w:rsidRPr="4DB20325">
          <w:rPr>
            <w:i/>
            <w:iCs/>
          </w:rPr>
          <w:t>DCC</w:t>
        </w:r>
        <w:r w:rsidR="00A72C08" w:rsidRPr="4DB20325">
          <w:rPr>
            <w:i/>
            <w:iCs/>
          </w:rPr>
          <w:t xml:space="preserve"> </w:t>
        </w:r>
        <w:r w:rsidR="000648B6" w:rsidRPr="4DB20325">
          <w:rPr>
            <w:i/>
            <w:iCs/>
          </w:rPr>
          <w:t>g</w:t>
        </w:r>
        <w:r w:rsidR="00A72C08" w:rsidRPr="4DB20325">
          <w:rPr>
            <w:i/>
            <w:iCs/>
          </w:rPr>
          <w:t xml:space="preserve">ateway equipment change </w:t>
        </w:r>
      </w:ins>
      <w:del w:id="13" w:author="Author">
        <w:r w:rsidRPr="4DB20325" w:rsidDel="0097522F">
          <w:rPr>
            <w:i/>
            <w:iCs/>
          </w:rPr>
          <w:delText>gateway equipment relocation</w:delText>
        </w:r>
      </w:del>
      <w:r>
        <w:t>') an obligation to pay arising during that Charging Period as a result of</w:t>
      </w:r>
      <w:del w:id="14" w:author="Author">
        <w:r w:rsidDel="00796A10">
          <w:delText xml:space="preserve"> a request by that Party to relocate DCC Gateway Equipment under Section H15.27 (DCC Gateway Equipment)</w:delText>
        </w:r>
      </w:del>
      <w:ins w:id="15" w:author="Author">
        <w:r w:rsidR="00796A10" w:rsidRPr="00796A10">
          <w:rPr>
            <w:rFonts w:ascii="Segoe UI" w:hAnsi="Segoe UI" w:cs="Segoe UI"/>
            <w:sz w:val="18"/>
            <w:szCs w:val="18"/>
          </w:rPr>
          <w:t xml:space="preserve"> </w:t>
        </w:r>
        <w:r w:rsidR="00796A10" w:rsidRPr="00796A10">
          <w:t>(a) a request by a Party to relocate DCC Gateway Equipment under Section H15.27 (DCC Gateway Equipment), or (b) the cessation of the DCC’s obligation to make the DCC Gateway Connection available to that Party and thereby remove the DCC Gateway Equipment under Section H15.28 (DCC Gateway Equipment)</w:t>
        </w:r>
      </w:ins>
      <w:r w:rsidRPr="00EB4E05">
        <w:t>;</w:t>
      </w:r>
    </w:p>
    <w:p w14:paraId="060E4AB2" w14:textId="7A260DDB" w:rsidR="000655D2" w:rsidDel="0044625A" w:rsidRDefault="00685139" w:rsidP="008D776B">
      <w:pPr>
        <w:ind w:left="900"/>
        <w:rPr>
          <w:del w:id="16" w:author="Author"/>
        </w:rPr>
      </w:pPr>
      <w:del w:id="17" w:author="Author">
        <w:r w:rsidDel="0044625A">
          <w:delText>(ea)</w:delText>
        </w:r>
        <w:r w:rsidDel="0044625A">
          <w:tab/>
          <w:delText>(</w:delText>
        </w:r>
        <w:r w:rsidR="00D85938" w:rsidRPr="00F33FAA" w:rsidDel="0044625A">
          <w:rPr>
            <w:i/>
            <w:iCs/>
          </w:rPr>
          <w:delText>'</w:delText>
        </w:r>
        <w:r w:rsidRPr="00D85938" w:rsidDel="0044625A">
          <w:rPr>
            <w:i/>
            <w:iCs/>
          </w:rPr>
          <w:delText xml:space="preserve">gateway </w:delText>
        </w:r>
        <w:r w:rsidR="00C51DCF" w:rsidRPr="00D85938" w:rsidDel="0044625A">
          <w:rPr>
            <w:i/>
            <w:iCs/>
          </w:rPr>
          <w:delText>equipment decommissioning</w:delText>
        </w:r>
        <w:r w:rsidR="00D85938" w:rsidRPr="00F33FAA" w:rsidDel="0044625A">
          <w:rPr>
            <w:i/>
            <w:iCs/>
          </w:rPr>
          <w:delText>'</w:delText>
        </w:r>
        <w:r w:rsidDel="0044625A">
          <w:delText xml:space="preserve">) an obligation to pay arising during that Charging Period as a result of </w:delText>
        </w:r>
        <w:r w:rsidR="00AD23F3" w:rsidDel="0044625A">
          <w:delText xml:space="preserve">the cancellation of the DCC Gateway Connection or </w:delText>
        </w:r>
        <w:r w:rsidR="00E66083" w:rsidDel="0044625A">
          <w:delText xml:space="preserve">the </w:delText>
        </w:r>
        <w:r w:rsidR="00C51DCF" w:rsidDel="0044625A">
          <w:delText>expiry</w:delText>
        </w:r>
        <w:r w:rsidR="00E66083" w:rsidDel="0044625A">
          <w:delText xml:space="preserve"> of the connection period,</w:delText>
        </w:r>
        <w:r w:rsidDel="0044625A">
          <w:delText xml:space="preserve"> to </w:delText>
        </w:r>
        <w:r w:rsidR="00C51DCF" w:rsidDel="0044625A">
          <w:delText>decommission</w:delText>
        </w:r>
        <w:r w:rsidDel="0044625A">
          <w:delText xml:space="preserve"> DCC Gateway Equipment under Section H15.2</w:delText>
        </w:r>
        <w:r w:rsidR="002529E1" w:rsidDel="0044625A">
          <w:delText>8</w:delText>
        </w:r>
        <w:r w:rsidDel="0044625A">
          <w:delText xml:space="preserve"> (DCC Gateway Equipment);</w:delText>
        </w:r>
      </w:del>
    </w:p>
    <w:p w14:paraId="0A679E6F" w14:textId="40D1BF36" w:rsidR="00477897" w:rsidRDefault="00477897" w:rsidP="00477897">
      <w:pPr>
        <w:ind w:left="900"/>
        <w:rPr>
          <w:ins w:id="18" w:author="Author"/>
        </w:rPr>
      </w:pPr>
      <w:ins w:id="19" w:author="Author">
        <w:r>
          <w:t>(ea)</w:t>
        </w:r>
        <w:r>
          <w:tab/>
          <w:t>(</w:t>
        </w:r>
        <w:r w:rsidR="00953214">
          <w:rPr>
            <w:i/>
            <w:iCs/>
          </w:rPr>
          <w:t>‘</w:t>
        </w:r>
        <w:r w:rsidR="00BF19EF">
          <w:rPr>
            <w:i/>
            <w:iCs/>
          </w:rPr>
          <w:t xml:space="preserve">DCC </w:t>
        </w:r>
        <w:r w:rsidR="000648B6">
          <w:rPr>
            <w:i/>
            <w:iCs/>
          </w:rPr>
          <w:t>g</w:t>
        </w:r>
        <w:r w:rsidR="00BF19EF">
          <w:rPr>
            <w:i/>
            <w:iCs/>
          </w:rPr>
          <w:t xml:space="preserve">ateway </w:t>
        </w:r>
        <w:r w:rsidR="000648B6">
          <w:rPr>
            <w:i/>
            <w:iCs/>
          </w:rPr>
          <w:t>c</w:t>
        </w:r>
        <w:r w:rsidR="00C3189C" w:rsidRPr="00C3189C">
          <w:rPr>
            <w:i/>
            <w:iCs/>
          </w:rPr>
          <w:t>onfiguration change</w:t>
        </w:r>
        <w:r w:rsidRPr="00F33FAA">
          <w:rPr>
            <w:i/>
            <w:iCs/>
          </w:rPr>
          <w:t>'</w:t>
        </w:r>
        <w:r>
          <w:t>) an obligation to pay arising during that Charging Period as a result of a request by that Party for a</w:t>
        </w:r>
        <w:r w:rsidR="00173A32">
          <w:t xml:space="preserve">ny changes in the configuration </w:t>
        </w:r>
        <w:r w:rsidR="007B7CA5">
          <w:t>of a DCC Gateway Connection</w:t>
        </w:r>
        <w:r w:rsidR="005F786E" w:rsidRPr="005F786E">
          <w:t xml:space="preserve"> </w:t>
        </w:r>
        <w:r w:rsidR="005F786E" w:rsidRPr="0044625A">
          <w:t>under Section H15.</w:t>
        </w:r>
        <w:r w:rsidR="00C225A4">
          <w:t>18</w:t>
        </w:r>
        <w:r w:rsidR="004C534F">
          <w:t>(g)</w:t>
        </w:r>
        <w:r w:rsidR="005F786E" w:rsidRPr="0044625A">
          <w:t xml:space="preserve"> (</w:t>
        </w:r>
        <w:r w:rsidR="000C2C4D" w:rsidRPr="000C2C4D">
          <w:t>Ongoing Provision of a DCC Gateway Connection</w:t>
        </w:r>
        <w:r w:rsidR="005F786E" w:rsidRPr="0044625A">
          <w:t>)</w:t>
        </w:r>
        <w:r>
          <w:t>;</w:t>
        </w:r>
      </w:ins>
    </w:p>
    <w:p w14:paraId="3E5E3FA2" w14:textId="3A7F6EF0" w:rsidR="00727422" w:rsidRDefault="00727422" w:rsidP="00727422">
      <w:pPr>
        <w:ind w:left="900"/>
      </w:pPr>
      <w:ins w:id="20" w:author="Author">
        <w:r>
          <w:lastRenderedPageBreak/>
          <w:t>(eb)</w:t>
        </w:r>
        <w:r>
          <w:tab/>
          <w:t>(</w:t>
        </w:r>
        <w:r w:rsidRPr="00F33FAA">
          <w:rPr>
            <w:i/>
            <w:iCs/>
          </w:rPr>
          <w:t>'</w:t>
        </w:r>
        <w:r w:rsidR="005A5747">
          <w:rPr>
            <w:i/>
            <w:iCs/>
          </w:rPr>
          <w:t xml:space="preserve">DCC </w:t>
        </w:r>
        <w:r w:rsidR="000648B6">
          <w:rPr>
            <w:i/>
            <w:iCs/>
          </w:rPr>
          <w:t>g</w:t>
        </w:r>
        <w:r w:rsidR="005A5747">
          <w:rPr>
            <w:i/>
            <w:iCs/>
          </w:rPr>
          <w:t>ateway</w:t>
        </w:r>
        <w:r w:rsidRPr="00F33FAA">
          <w:rPr>
            <w:i/>
            <w:iCs/>
          </w:rPr>
          <w:t xml:space="preserve"> </w:t>
        </w:r>
        <w:r w:rsidR="007B7CA5">
          <w:rPr>
            <w:i/>
            <w:iCs/>
          </w:rPr>
          <w:t xml:space="preserve">site specific </w:t>
        </w:r>
        <w:r w:rsidR="00C7379D">
          <w:rPr>
            <w:i/>
            <w:iCs/>
          </w:rPr>
          <w:t>r</w:t>
        </w:r>
        <w:r w:rsidRPr="00F33FAA">
          <w:rPr>
            <w:i/>
            <w:iCs/>
          </w:rPr>
          <w:t xml:space="preserve">isk </w:t>
        </w:r>
        <w:r w:rsidR="00C7379D">
          <w:rPr>
            <w:i/>
            <w:iCs/>
          </w:rPr>
          <w:t>a</w:t>
        </w:r>
        <w:r w:rsidRPr="00F33FAA">
          <w:rPr>
            <w:i/>
            <w:iCs/>
          </w:rPr>
          <w:t>ssessment'</w:t>
        </w:r>
        <w:r>
          <w:t xml:space="preserve">) an obligation to pay arising during that Charging Period as a result of a request by that Party for a </w:t>
        </w:r>
        <w:r w:rsidR="00F31118">
          <w:t>S</w:t>
        </w:r>
        <w:r w:rsidR="00207C15">
          <w:t>ite-</w:t>
        </w:r>
        <w:r w:rsidR="00F31118">
          <w:t>S</w:t>
        </w:r>
        <w:r w:rsidR="00207C15">
          <w:t>pecific</w:t>
        </w:r>
        <w:r w:rsidR="006F2284">
          <w:t xml:space="preserve"> </w:t>
        </w:r>
        <w:r w:rsidR="00F31118">
          <w:t>R</w:t>
        </w:r>
        <w:r w:rsidR="006F2284">
          <w:t xml:space="preserve">isk </w:t>
        </w:r>
        <w:r w:rsidR="00F31118">
          <w:t>A</w:t>
        </w:r>
        <w:r w:rsidR="006F2284">
          <w:t>ssessment on their DCC Gateway Connection</w:t>
        </w:r>
        <w:r>
          <w:rPr>
            <w:i/>
            <w:iCs/>
          </w:rPr>
          <w:t xml:space="preserve"> </w:t>
        </w:r>
        <w:r>
          <w:t>under Section H</w:t>
        </w:r>
        <w:r w:rsidR="000F6651">
          <w:t>15.</w:t>
        </w:r>
        <w:r w:rsidR="00B21165">
          <w:t>6</w:t>
        </w:r>
        <w:r w:rsidR="000F6651">
          <w:t>A</w:t>
        </w:r>
        <w:r>
          <w:t xml:space="preserve"> (</w:t>
        </w:r>
        <w:r w:rsidR="00D85938" w:rsidRPr="00D85938">
          <w:t>Requests for DCC Gateway Connections</w:t>
        </w:r>
        <w:r>
          <w:t>);</w:t>
        </w:r>
      </w:ins>
    </w:p>
    <w:p w14:paraId="678CA011" w14:textId="0E58F727" w:rsidR="002C6CD3" w:rsidRDefault="0097522F" w:rsidP="000655D2">
      <w:pPr>
        <w:numPr>
          <w:ilvl w:val="3"/>
          <w:numId w:val="26"/>
        </w:numPr>
        <w:ind w:left="1600"/>
      </w:pPr>
      <w:r>
        <w:t>(</w:t>
      </w:r>
      <w:r w:rsidRPr="000655D2">
        <w:rPr>
          <w:i/>
        </w:rPr>
        <w:t>'elective service evaluations'</w:t>
      </w:r>
      <w:r>
        <w:t>) an obligation to pay arising during that Charging Period under the terms and conditions accepted by that Party for a Detailed Evaluation in respect of potential Elective Communication Services pursuant to Section H7.8 (Detailed Evaluations of Elective Communication Services);</w:t>
      </w:r>
    </w:p>
    <w:p w14:paraId="678CA012" w14:textId="77777777" w:rsidR="002C6CD3" w:rsidRDefault="0097522F" w:rsidP="00C36C16">
      <w:pPr>
        <w:numPr>
          <w:ilvl w:val="3"/>
          <w:numId w:val="36"/>
        </w:numPr>
        <w:ind w:left="1560" w:hanging="709"/>
      </w:pPr>
      <w:r>
        <w:t>('</w:t>
      </w:r>
      <w:r>
        <w:rPr>
          <w:i/>
        </w:rPr>
        <w:t>P&amp;C support</w:t>
      </w:r>
      <w:r>
        <w:t>') an obligation to pay arising during that Charging Period under the terms and conditions accepted by that Party in relation to that Party's use or implementation of the Parse and Correlate Software pursuant to Section H11.12 (Provision of Support &amp; Assistance to Users);</w:t>
      </w:r>
    </w:p>
    <w:p w14:paraId="678CA013" w14:textId="77777777" w:rsidR="002C6CD3" w:rsidRDefault="0097522F" w:rsidP="00C36C16">
      <w:pPr>
        <w:numPr>
          <w:ilvl w:val="3"/>
          <w:numId w:val="36"/>
        </w:numPr>
        <w:ind w:left="1560" w:hanging="709"/>
      </w:pPr>
      <w:r>
        <w:t>('</w:t>
      </w:r>
      <w:r>
        <w:rPr>
          <w:i/>
        </w:rPr>
        <w:t>SM WAN for testing'</w:t>
      </w:r>
      <w:r>
        <w:t>) an obligation to pay arising during that Charging Period from the acceptance by that Party of the charges offered by the DCC to provide a connection to a simulation of the SM WAN pursuant to Section H14.31 (Device and User System Testing);</w:t>
      </w:r>
    </w:p>
    <w:p w14:paraId="678CA014" w14:textId="77777777" w:rsidR="002C6CD3" w:rsidRDefault="0097522F" w:rsidP="00C36C16">
      <w:pPr>
        <w:numPr>
          <w:ilvl w:val="3"/>
          <w:numId w:val="36"/>
        </w:numPr>
        <w:ind w:left="1560" w:hanging="709"/>
      </w:pPr>
      <w:r>
        <w:t>(</w:t>
      </w:r>
      <w:r>
        <w:rPr>
          <w:i/>
        </w:rPr>
        <w:t>'additional testing support'</w:t>
      </w:r>
      <w:r>
        <w:t>) an obligation to pay arising during that Charging Period from the acceptance by that Party of the charges offered by the DCC to provide additional testing support to that Party pursuant to Section H14.33 (Device and User System Testing);</w:t>
      </w:r>
    </w:p>
    <w:p w14:paraId="678CA015" w14:textId="77777777" w:rsidR="002C6CD3" w:rsidRDefault="0097522F" w:rsidP="00C36C16">
      <w:pPr>
        <w:numPr>
          <w:ilvl w:val="3"/>
          <w:numId w:val="36"/>
        </w:numPr>
        <w:ind w:left="1560" w:hanging="709"/>
      </w:pPr>
      <w:r>
        <w:t>(</w:t>
      </w:r>
      <w:r>
        <w:rPr>
          <w:i/>
        </w:rPr>
        <w:t>'communication services'</w:t>
      </w:r>
      <w:r>
        <w:t>) the number of each of the Services identified in the DCC User Interface Services Schedule which have been provided to that Party during that Charging Period;</w:t>
      </w:r>
    </w:p>
    <w:p w14:paraId="678CA016" w14:textId="77777777" w:rsidR="002C6CD3" w:rsidRDefault="0097522F" w:rsidP="00C36C16">
      <w:pPr>
        <w:numPr>
          <w:ilvl w:val="3"/>
          <w:numId w:val="36"/>
        </w:numPr>
        <w:ind w:left="1560" w:hanging="709"/>
      </w:pPr>
      <w:r>
        <w:t>(</w:t>
      </w:r>
      <w:r>
        <w:rPr>
          <w:i/>
        </w:rPr>
        <w:t>'CH non-standard delivery'</w:t>
      </w:r>
      <w:r>
        <w:t>) an obligation to pay arising during that Charging Period as a result of the request by that Party for non-standard Communications Hub Product delivery requirements pursuant to Section F6.17 (Non-Standard Delivery Options);</w:t>
      </w:r>
    </w:p>
    <w:p w14:paraId="678CA017" w14:textId="77777777" w:rsidR="002C6CD3" w:rsidRDefault="0097522F" w:rsidP="00C36C16">
      <w:pPr>
        <w:numPr>
          <w:ilvl w:val="3"/>
          <w:numId w:val="36"/>
        </w:numPr>
        <w:ind w:left="1560" w:hanging="709"/>
      </w:pPr>
      <w:r>
        <w:t>(</w:t>
      </w:r>
      <w:r>
        <w:rPr>
          <w:i/>
        </w:rPr>
        <w:t>'CH stock level charge'</w:t>
      </w:r>
      <w:r>
        <w:t>) the number (to be measured at the end of that Charging Period) of Communications Hubs that have been delivered to that Party under Section F6 (Delivery and Acceptance of Communications Hubs) or that have been transferred to that Party under Section F6A (Transferring Communications Hubs Between Parties) and for which none of the following has yet occurred: (i) identification on the Smart Metering Inventory as ‘installed not commissioned' or ‘commissioned'; (ii) rejection in accordance with Section F6.10 (Confirmation of Delivery); (iii) delivery to the DCC in accordance with Section F8 (Removal and Return of Communications Hubs); (iv) notification to the DCC in accordance with Section F8 (Removal and Return of Communications Hubs) that the Communications Hub has been lost or destroyed; or (v) transfer to another Party under Section F6A (Transferring Communications Hubs Between Parties);</w:t>
      </w:r>
    </w:p>
    <w:p w14:paraId="678CA018" w14:textId="77777777" w:rsidR="002C6CD3" w:rsidRDefault="0097522F" w:rsidP="00C36C16">
      <w:pPr>
        <w:numPr>
          <w:ilvl w:val="3"/>
          <w:numId w:val="36"/>
        </w:numPr>
        <w:ind w:left="1560" w:hanging="709"/>
      </w:pPr>
      <w:r>
        <w:t>(</w:t>
      </w:r>
      <w:r>
        <w:rPr>
          <w:i/>
        </w:rPr>
        <w:t>‘GFI Testing’</w:t>
      </w:r>
      <w:r>
        <w:t>) the number of each of the types of GFI Testing tools which have been delivered to that Party during that Charging Period under Section H14 (Testing Services) and in accordance with Section 15 of Appendix J (Enduring Testing Approach Document);</w:t>
      </w:r>
    </w:p>
    <w:p w14:paraId="678CA019" w14:textId="77777777" w:rsidR="002C6CD3" w:rsidRDefault="0097522F" w:rsidP="00C36C16">
      <w:pPr>
        <w:numPr>
          <w:ilvl w:val="3"/>
          <w:numId w:val="36"/>
        </w:numPr>
        <w:ind w:left="1560" w:hanging="709"/>
      </w:pPr>
      <w:r>
        <w:t>(</w:t>
      </w:r>
      <w:r>
        <w:rPr>
          <w:i/>
        </w:rPr>
        <w:t>'CH auxiliary equipment'</w:t>
      </w:r>
      <w:r>
        <w:t>) the number of each of the types of Communications Hub Auxiliary Equipment which have been delivered to that Party during that Charging Period under Section F6 (Delivery and Acceptance of Communications Hubs), and which have not been (and are not) rejected in accordance with Section F6.10 (Rejected Communications Hub Products) or (in the case of the Communications Hub Auxiliary Equipment to which Section F7.9 or F7.10 or both applies (Ownership of and Responsibility for Communications Hub Auxiliary Equipment)) returned, or notified as lost or destroyed, for a reason which is a CH Pre-Installation DCC Responsibility;</w:t>
      </w:r>
    </w:p>
    <w:p w14:paraId="678CA01A" w14:textId="77777777" w:rsidR="002C6CD3" w:rsidRDefault="0097522F" w:rsidP="00C36C16">
      <w:pPr>
        <w:numPr>
          <w:ilvl w:val="3"/>
          <w:numId w:val="36"/>
        </w:numPr>
        <w:ind w:left="1560" w:hanging="709"/>
      </w:pPr>
      <w:r>
        <w:t>('</w:t>
      </w:r>
      <w:r>
        <w:rPr>
          <w:i/>
        </w:rPr>
        <w:t>CH returned and redeployed</w:t>
      </w:r>
      <w:r>
        <w:t>') the number of Communications Hubs which have been returned by that Party during that Charging Period for a reason which is a CH User Responsibility, and which have been (or are intended to be) reconditioned for redeployment pursuant to Section F8 (Removal and Return of Communications Hubs);</w:t>
      </w:r>
    </w:p>
    <w:p w14:paraId="678CA01B" w14:textId="77777777" w:rsidR="002C6CD3" w:rsidRDefault="0097522F" w:rsidP="00C36C16">
      <w:pPr>
        <w:numPr>
          <w:ilvl w:val="3"/>
          <w:numId w:val="36"/>
        </w:numPr>
        <w:ind w:left="1560" w:hanging="709"/>
      </w:pPr>
      <w:r>
        <w:t>('</w:t>
      </w:r>
      <w:r>
        <w:rPr>
          <w:i/>
        </w:rPr>
        <w:t>CH returned not redeployed</w:t>
      </w:r>
      <w:r>
        <w:t xml:space="preserve">') the number of Communications Hubs which have been returned, or notified as lost or destroyed, by that Party during that Charging Period for a reason which is a CH User </w:t>
      </w:r>
      <w:r>
        <w:lastRenderedPageBreak/>
        <w:t>Responsibility, and which have not been (and are not intended to be) reconditioned for redeployment pursuant to Section F8 (Removal and Return of Communications Hubs), but excluding the scenario whereby a 2G/3G Communications Hub is replaced with a 4G Communications Hub;</w:t>
      </w:r>
    </w:p>
    <w:p w14:paraId="678CA01C" w14:textId="77777777" w:rsidR="002C6CD3" w:rsidRDefault="0097522F" w:rsidP="00C36C16">
      <w:pPr>
        <w:numPr>
          <w:ilvl w:val="3"/>
          <w:numId w:val="36"/>
        </w:numPr>
        <w:ind w:left="1560" w:hanging="709"/>
      </w:pPr>
      <w:r>
        <w:t>(</w:t>
      </w:r>
      <w:r>
        <w:rPr>
          <w:i/>
        </w:rPr>
        <w:t>'CH wrong returns location'</w:t>
      </w:r>
      <w:r>
        <w:t>) an obligation to pay arising during that Charging Period as a result of the return by that Party of Communications Hubs to the wrong returns location as referred to in Section F8.9 (Return of Communications Hubs);</w:t>
      </w:r>
    </w:p>
    <w:p w14:paraId="678CA01D" w14:textId="77777777" w:rsidR="002C6CD3" w:rsidRDefault="0097522F" w:rsidP="00C36C16">
      <w:pPr>
        <w:numPr>
          <w:ilvl w:val="3"/>
          <w:numId w:val="36"/>
        </w:numPr>
        <w:ind w:left="1560" w:hanging="709"/>
      </w:pPr>
      <w:r>
        <w:t>('</w:t>
      </w:r>
      <w:r>
        <w:rPr>
          <w:i/>
        </w:rPr>
        <w:t>test comms hubs</w:t>
      </w:r>
      <w:r>
        <w:t>') the number of Test Communications Hubs delivered to that Party during that Charging Period, and which have not been (and are not) returned to the DCC in accordance with Section F10.8 (Ordering, Delivery, Rejection and Returns);</w:t>
      </w:r>
    </w:p>
    <w:p w14:paraId="678CA01E" w14:textId="77777777" w:rsidR="002C6CD3" w:rsidRDefault="0097522F" w:rsidP="00C36C16">
      <w:pPr>
        <w:numPr>
          <w:ilvl w:val="3"/>
          <w:numId w:val="36"/>
        </w:numPr>
        <w:ind w:left="1560" w:hanging="709"/>
      </w:pPr>
      <w:r>
        <w:t>('</w:t>
      </w:r>
      <w:r>
        <w:rPr>
          <w:i/>
        </w:rPr>
        <w:t>additional CH Order Management System accounts</w:t>
      </w:r>
      <w:r>
        <w:t>') the number of additional CH Order Management System accounts made available to that Party during that Charging Period in accordance with Section F5.23 (CH Order Management System Accounts);</w:t>
      </w:r>
    </w:p>
    <w:p w14:paraId="678CA01F" w14:textId="77777777" w:rsidR="002C6CD3" w:rsidRDefault="0097522F" w:rsidP="00C36C16">
      <w:pPr>
        <w:numPr>
          <w:ilvl w:val="3"/>
          <w:numId w:val="36"/>
        </w:numPr>
        <w:ind w:left="1560" w:hanging="709"/>
      </w:pPr>
      <w:r>
        <w:t>('</w:t>
      </w:r>
      <w:r>
        <w:rPr>
          <w:i/>
        </w:rPr>
        <w:t>shared solution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Shared Solution Alt HAN Equipment is installed;</w:t>
      </w:r>
    </w:p>
    <w:p w14:paraId="678CA020" w14:textId="77777777" w:rsidR="002C6CD3" w:rsidRDefault="0097522F" w:rsidP="00C36C16">
      <w:pPr>
        <w:numPr>
          <w:ilvl w:val="3"/>
          <w:numId w:val="36"/>
        </w:numPr>
        <w:ind w:left="1560" w:hanging="709"/>
      </w:pPr>
      <w:r>
        <w:t>('</w:t>
      </w:r>
      <w:r>
        <w:rPr>
          <w:i/>
        </w:rPr>
        <w:t>point-to-point Alt HAN Equipment</w:t>
      </w:r>
      <w:r>
        <w:t>') the number (as measured at the end of that Charging Period) of MPANs associated with premises supplied with electricity by that Party and of MPRNs associated with premises supplied with gas by that Party, in respect of each of which premises (except where the Alt HAN Inventory records that Party as having elected to use Opted-out Alt HAN Equipment at that time) Central Point-to-Point Alt HAN Equipment is installed;</w:t>
      </w:r>
    </w:p>
    <w:p w14:paraId="678CA021" w14:textId="77777777" w:rsidR="002C6CD3" w:rsidRDefault="0097522F" w:rsidP="00C36C16">
      <w:pPr>
        <w:numPr>
          <w:ilvl w:val="3"/>
          <w:numId w:val="36"/>
        </w:numPr>
        <w:ind w:left="1560" w:hanging="709"/>
      </w:pPr>
      <w:r>
        <w:t>('</w:t>
      </w:r>
      <w:r>
        <w:rPr>
          <w:i/>
        </w:rPr>
        <w:t>stock level point-to-point Alt HAN Equipment</w:t>
      </w:r>
      <w:r>
        <w:t>') the number of items of Central Point-to-Point Alt HAN Equipment (as measured at the end of that Charging Period) delivered to that Party but not installed;</w:t>
      </w:r>
    </w:p>
    <w:p w14:paraId="678CA022" w14:textId="77777777" w:rsidR="002C6CD3" w:rsidRDefault="0097522F" w:rsidP="00C36C16">
      <w:pPr>
        <w:numPr>
          <w:ilvl w:val="3"/>
          <w:numId w:val="36"/>
        </w:numPr>
        <w:ind w:left="1560" w:hanging="709"/>
      </w:pPr>
      <w:r>
        <w:t>(</w:t>
      </w:r>
      <w:r>
        <w:rPr>
          <w:i/>
        </w:rPr>
        <w:t>‘RF Noise Testing’</w:t>
      </w:r>
      <w:r>
        <w:t xml:space="preserve">) an obligation to pay arising during that Charging Period from the acceptance by that Party of the charges offered by the DCC to provide RF Noise Testing pursuant to Section H14.37 (Radio Frequency Noise Testing); </w:t>
      </w:r>
    </w:p>
    <w:p w14:paraId="678CA023" w14:textId="77777777" w:rsidR="002C6CD3" w:rsidRDefault="0097522F" w:rsidP="00C36C16">
      <w:pPr>
        <w:numPr>
          <w:ilvl w:val="3"/>
          <w:numId w:val="36"/>
        </w:numPr>
        <w:ind w:left="1560" w:hanging="709"/>
      </w:pPr>
      <w:r>
        <w:t>(</w:t>
      </w:r>
      <w:r>
        <w:rPr>
          <w:i/>
        </w:rPr>
        <w:t>‘DCC Boxed’</w:t>
      </w:r>
      <w:r>
        <w:t xml:space="preserve">) the number of each of the types of DCC Boxed which have been delivered to that Party during that Charging Period under Section H14 (Testing Services) and in accordance with Clause 18 of the Enduring Testing Approach Document; </w:t>
      </w:r>
    </w:p>
    <w:p w14:paraId="678CA024" w14:textId="0EB825E4" w:rsidR="002C6CD3" w:rsidRDefault="0097522F" w:rsidP="00C36C16">
      <w:pPr>
        <w:numPr>
          <w:ilvl w:val="3"/>
          <w:numId w:val="36"/>
        </w:numPr>
        <w:ind w:left="1560" w:hanging="709"/>
      </w:pPr>
      <w:r>
        <w:t>(</w:t>
      </w:r>
      <w:r>
        <w:rPr>
          <w:i/>
        </w:rPr>
        <w:t>‘MAP/Manufacturer Reports’</w:t>
      </w:r>
      <w:r>
        <w:t>) the number of MAP/Manufacturer reports provided to the Meter Asset Provider or Manufacturer during that Charging Period; and</w:t>
      </w:r>
    </w:p>
    <w:p w14:paraId="678CA025" w14:textId="563CF3D6" w:rsidR="002C6CD3" w:rsidRDefault="0097522F" w:rsidP="00756391">
      <w:pPr>
        <w:numPr>
          <w:ilvl w:val="3"/>
          <w:numId w:val="36"/>
        </w:numPr>
        <w:ind w:left="1560" w:hanging="709"/>
      </w:pPr>
      <w:r>
        <w:t>(</w:t>
      </w:r>
      <w:r>
        <w:rPr>
          <w:i/>
        </w:rPr>
        <w:t>'SMDA DCC Testing'</w:t>
      </w:r>
      <w:r>
        <w:t>) the quantity of SMDA Testing Services utilised by the Testing Participant based on the charging metrics described in the framework agreement under which the DCC is appointed as an SMDA Test House.</w:t>
      </w:r>
    </w:p>
    <w:p w14:paraId="678CA026" w14:textId="77777777" w:rsidR="002C6CD3" w:rsidRDefault="0097522F">
      <w:pPr>
        <w:pStyle w:val="Heading3"/>
        <w:ind w:left="600"/>
      </w:pPr>
      <w:bookmarkStart w:id="21" w:name="_Toc205302048"/>
      <w:r>
        <w:t>Explicit Charges</w:t>
      </w:r>
      <w:bookmarkEnd w:id="21"/>
    </w:p>
    <w:p w14:paraId="678CA027" w14:textId="77777777" w:rsidR="002C6CD3" w:rsidRDefault="0097522F" w:rsidP="00C2452F">
      <w:pPr>
        <w:numPr>
          <w:ilvl w:val="2"/>
          <w:numId w:val="36"/>
        </w:numPr>
      </w:pPr>
      <w:r>
        <w:t>The DCC will determine the Explicit Charges for each Explicit Charging Metric and each Regulatory Year:</w:t>
      </w:r>
    </w:p>
    <w:p w14:paraId="678CA028" w14:textId="77777777" w:rsidR="002C6CD3" w:rsidRDefault="0097522F" w:rsidP="00C2452F">
      <w:pPr>
        <w:numPr>
          <w:ilvl w:val="3"/>
          <w:numId w:val="38"/>
        </w:numPr>
        <w:ind w:left="709"/>
      </w:pPr>
      <w:r>
        <w:t>in the case of the Explicit Charging Metrics referred to in Section K7.5(a) and (b)('security assessments' and 'privacy assessments'), so as to pass-through to each Party the relevant expenditure incurred by the Panel in respect of the Explicit Charging Metric as notified by the Panel to the DCC for the purpose of establishing such Charges;</w:t>
      </w:r>
    </w:p>
    <w:p w14:paraId="678CA029" w14:textId="77777777" w:rsidR="002C6CD3" w:rsidRDefault="0097522F" w:rsidP="00C2452F">
      <w:pPr>
        <w:numPr>
          <w:ilvl w:val="3"/>
          <w:numId w:val="38"/>
        </w:numPr>
        <w:ind w:left="709"/>
      </w:pPr>
      <w:r>
        <w:t>(subject to Section K7.6(a)) in a manner consistent with the Charging Objectives referred to in Sections C1.4, C1.5 and C1.6(a), (b), and (c);</w:t>
      </w:r>
    </w:p>
    <w:p w14:paraId="678CA02A" w14:textId="77777777" w:rsidR="002C6CD3" w:rsidRDefault="0097522F" w:rsidP="00C2452F">
      <w:pPr>
        <w:numPr>
          <w:ilvl w:val="3"/>
          <w:numId w:val="38"/>
        </w:numPr>
        <w:ind w:left="709"/>
      </w:pPr>
      <w:r>
        <w:lastRenderedPageBreak/>
        <w:t>(subject to Section K7.6(a) and the Charging Objective referred to in Section C1.4) on a non-discriminatory and cost reflective basis so as to recover the incremental cost to the DCC (including under the DCC Service Provider Contracts) associated with the occurrence of that Explicit Charging Metric (and disregarding any costs and expenses that would be incurred whether or not that Explicit Charging Metric occurred);</w:t>
      </w:r>
    </w:p>
    <w:p w14:paraId="678CA02B" w14:textId="549EF61F" w:rsidR="002C6CD3" w:rsidRDefault="0097522F" w:rsidP="00C2452F">
      <w:pPr>
        <w:numPr>
          <w:ilvl w:val="3"/>
          <w:numId w:val="38"/>
        </w:numPr>
        <w:ind w:left="709"/>
      </w:pPr>
      <w:r>
        <w:t>in the case of the Explicit Charging Metric</w:t>
      </w:r>
      <w:del w:id="22" w:author="Author">
        <w:r w:rsidDel="0097522F">
          <w:delText>s</w:delText>
        </w:r>
      </w:del>
      <w:r>
        <w:t xml:space="preserve"> referred to in Section K7.5(c)</w:t>
      </w:r>
      <w:del w:id="23" w:author="Author">
        <w:r w:rsidDel="0097522F">
          <w:delText xml:space="preserve"> and (''LV gateway connection' and 'HV gateway connection</w:delText>
        </w:r>
      </w:del>
      <w:ins w:id="24" w:author="Author">
        <w:r w:rsidR="00FD69CA">
          <w:t xml:space="preserve"> </w:t>
        </w:r>
        <w:r w:rsidR="002B5413">
          <w:t xml:space="preserve">(‘DCC </w:t>
        </w:r>
        <w:r w:rsidR="00FD69CA">
          <w:t>gateway connection</w:t>
        </w:r>
      </w:ins>
      <w:r>
        <w:t>'), the Explicit Charges may comprise an initial connection charge and an ongoing annual charge (which annual charge may be payable monthly or less frequently)</w:t>
      </w:r>
      <w:ins w:id="25" w:author="Author">
        <w:r w:rsidR="002B5413">
          <w:t xml:space="preserve">; </w:t>
        </w:r>
      </w:ins>
      <w:del w:id="26" w:author="Author">
        <w:r w:rsidDel="0097522F">
          <w:delText>;</w:delText>
        </w:r>
      </w:del>
    </w:p>
    <w:p w14:paraId="678CA02C" w14:textId="77777777" w:rsidR="002C6CD3" w:rsidRDefault="0097522F" w:rsidP="00C2452F">
      <w:pPr>
        <w:numPr>
          <w:ilvl w:val="3"/>
          <w:numId w:val="38"/>
        </w:numPr>
        <w:ind w:left="709"/>
      </w:pPr>
      <w:r>
        <w:t>in the case of the Explicit Charging Metrics referred to in Section K7.5(j) ('communication services'), in accordance with (c) above; save that (where the cost of implementing an Explicit Charge for one or more of the Services referred to in that Section would be disproportionate to the cost-reflective incremental cost) the Explicit Charge for those Services may be set at zero;</w:t>
      </w:r>
    </w:p>
    <w:p w14:paraId="678CA02D" w14:textId="77777777" w:rsidR="002C6CD3" w:rsidRDefault="0097522F" w:rsidP="00C2452F">
      <w:pPr>
        <w:numPr>
          <w:ilvl w:val="3"/>
          <w:numId w:val="38"/>
        </w:numPr>
        <w:ind w:left="709"/>
      </w:pPr>
      <w:r>
        <w:t>in the case of the Explicit Charging Metrics referred to in Sections K7.5(l), (n), (o) and (p) ('CH stock level charge', 'CH auxiliary equipment', 'CH returned and redeployed', and 'CH returned not redeployed'), so as to ensure they are uniform across each month of a Regulatory Year and across each Region and do not make any distinction linked to use at Domestic Premises or Non- Domestic Premises;</w:t>
      </w:r>
    </w:p>
    <w:p w14:paraId="678CA02E" w14:textId="77777777" w:rsidR="002C6CD3" w:rsidRDefault="0097522F" w:rsidP="00C2452F">
      <w:pPr>
        <w:numPr>
          <w:ilvl w:val="3"/>
          <w:numId w:val="38"/>
        </w:numPr>
        <w:ind w:left="709"/>
      </w:pPr>
      <w:r>
        <w:t>in the case of the Explicit Charging Metric referred to in Sections K7.5, (o) and (p) ('CH returned and redeployed' and 'CH returned not redeployed'), on the basis that there can be different charges for each HAN Variant (including depending on the circumstances of the return of the HAN Variant);</w:t>
      </w:r>
    </w:p>
    <w:p w14:paraId="678CA02F" w14:textId="77777777" w:rsidR="002C6CD3" w:rsidRDefault="0097522F" w:rsidP="00C2452F">
      <w:pPr>
        <w:numPr>
          <w:ilvl w:val="3"/>
          <w:numId w:val="38"/>
        </w:numPr>
        <w:ind w:left="709"/>
      </w:pPr>
      <w:r>
        <w:t>so that the Explicit Charging Metric referred to in Section K7.5(o) ('CH returned and redeployed') for each HAN Variant is not more than the Explicit Charging Metric for that HAN Variant referred to in Section K7.5(p) ('CH returned not redeployed');</w:t>
      </w:r>
    </w:p>
    <w:p w14:paraId="678CA030" w14:textId="77777777" w:rsidR="002C6CD3" w:rsidRDefault="0097522F" w:rsidP="00C2452F">
      <w:pPr>
        <w:numPr>
          <w:ilvl w:val="3"/>
          <w:numId w:val="38"/>
        </w:numPr>
        <w:ind w:left="709"/>
      </w:pPr>
      <w:r>
        <w:t>in the case of the Explicit Charging Metric referred to in Section K7.5(p) ('CH returned not redeployed'), in accordance with (c) above, for which purpose the incremental cost to DCC shall include any early termination fee payable in relation to the Communications Hub, or (if applicable) the net present value of the ongoing costs likely to be incurred by the DCC notwithstanding the fact that the Communications Hub has been removed, lost or destroyed;</w:t>
      </w:r>
    </w:p>
    <w:p w14:paraId="678CA031" w14:textId="77777777" w:rsidR="002C6CD3" w:rsidRDefault="0097522F" w:rsidP="003F340D">
      <w:pPr>
        <w:numPr>
          <w:ilvl w:val="3"/>
          <w:numId w:val="28"/>
        </w:numPr>
        <w:ind w:left="709"/>
        <w:contextualSpacing w:val="0"/>
      </w:pPr>
      <w:r>
        <w:t>in the case of the Explicit Charging Metric referred to in Sections K7.5(r) ('test comms hubs'), on the basis that there can be different charges for different types of Test Communications Hubs (including by reference to the HAN Variant to which they correspond);</w:t>
      </w:r>
    </w:p>
    <w:p w14:paraId="678CA032" w14:textId="314EA8E7" w:rsidR="002C6CD3" w:rsidRDefault="0097522F" w:rsidP="003F340D">
      <w:pPr>
        <w:numPr>
          <w:ilvl w:val="3"/>
          <w:numId w:val="30"/>
        </w:numPr>
        <w:ind w:left="709"/>
        <w:contextualSpacing w:val="0"/>
      </w:pPr>
      <w:r>
        <w:t>in the case of the Explicit Charging Metrics referred to in Section K7.5(t), (u) and (v) ('shared solution Alt HAN Equipment', 'point-to-point Alt HAN Equipment' and 'stock level point-to-point Alt HAN Equipment), so as to pass- through to each Party the relevant costs of AltHANCo in respect of the Explicit Charging Metric as notified by AltHANCo to the DCC for the purpose of establishing such Charges; and</w:t>
      </w:r>
    </w:p>
    <w:p w14:paraId="678CA033" w14:textId="17AED1D8" w:rsidR="002C6CD3" w:rsidRDefault="0097522F" w:rsidP="008133F3">
      <w:pPr>
        <w:numPr>
          <w:ilvl w:val="3"/>
          <w:numId w:val="30"/>
        </w:numPr>
        <w:ind w:left="709"/>
        <w:contextualSpacing w:val="0"/>
      </w:pPr>
      <w:r>
        <w:t>in the case of the Explicit Charging Metric referred to in Sections K7.5(z) (</w:t>
      </w:r>
      <w:r>
        <w:rPr>
          <w:i/>
        </w:rPr>
        <w:t>'SMDA DCC Testing'</w:t>
      </w:r>
      <w:r>
        <w:t>), in accordance with the charges described in the framework agreement under which the DCC is appointed as an SMDA Test House.</w:t>
      </w:r>
    </w:p>
    <w:sectPr w:rsidR="002C6CD3">
      <w:headerReference w:type="even" r:id="rId8"/>
      <w:headerReference w:type="default" r:id="rId9"/>
      <w:footerReference w:type="even" r:id="rId10"/>
      <w:footerReference w:type="default" r:id="rId11"/>
      <w:headerReference w:type="first" r:id="rId12"/>
      <w:footerReference w:type="first" r:id="rId13"/>
      <w:pgSz w:w="11907" w:h="16839" w:code="9"/>
      <w:pgMar w:top="1135" w:right="851" w:bottom="1135" w:left="11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33391" w14:textId="77777777" w:rsidR="004F0A4E" w:rsidRDefault="004F0A4E">
      <w:pPr>
        <w:spacing w:before="0" w:after="0" w:line="240" w:lineRule="auto"/>
      </w:pPr>
      <w:r>
        <w:separator/>
      </w:r>
    </w:p>
  </w:endnote>
  <w:endnote w:type="continuationSeparator" w:id="0">
    <w:p w14:paraId="43B4ED86" w14:textId="77777777" w:rsidR="004F0A4E" w:rsidRDefault="004F0A4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Expert 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FB6BC" w14:textId="704B6DD4" w:rsidR="007D3202" w:rsidRDefault="0033353B">
    <w:pPr>
      <w:pStyle w:val="Footer"/>
    </w:pPr>
    <w:r>
      <w:rPr>
        <w:noProof/>
      </w:rPr>
      <mc:AlternateContent>
        <mc:Choice Requires="wps">
          <w:drawing>
            <wp:anchor distT="0" distB="0" distL="0" distR="0" simplePos="0" relativeHeight="251663364" behindDoc="0" locked="0" layoutInCell="1" allowOverlap="1" wp14:anchorId="18C14D36" wp14:editId="76FC4619">
              <wp:simplePos x="635" y="635"/>
              <wp:positionH relativeFrom="page">
                <wp:align>center</wp:align>
              </wp:positionH>
              <wp:positionV relativeFrom="page">
                <wp:align>bottom</wp:align>
              </wp:positionV>
              <wp:extent cx="608965" cy="530225"/>
              <wp:effectExtent l="0" t="0" r="635" b="0"/>
              <wp:wrapNone/>
              <wp:docPr id="1017378608" name="Text Box 5"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8C14D36" id="_x0000_t202" coordsize="21600,21600" o:spt="202" path="m,l,21600r21600,l21600,xe">
              <v:stroke joinstyle="miter"/>
              <v:path gradientshapeok="t" o:connecttype="rect"/>
            </v:shapetype>
            <v:shape id="Text Box 5" o:spid="_x0000_s1028" type="#_x0000_t202" alt="DCC Public" style="position:absolute;margin-left:0;margin-top:0;width:47.95pt;height:41.75pt;z-index:25166336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" filled="f" stroked="f">
              <v:fill o:detectmouseclick="t"/>
              <v:textbox style="mso-fit-shape-to-text:t" inset="0,0,0,15pt">
                <w:txbxContent>
                  <w:p w14:paraId="238EF9AA" w14:textId="3F0CB4AB"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3" w14:textId="52003E93" w:rsidR="002C6CD3" w:rsidRDefault="0033353B">
    <w:pPr>
      <w:pStyle w:val="Footer"/>
      <w:contextualSpacing w:val="0"/>
    </w:pPr>
    <w:r>
      <w:rPr>
        <w:noProof/>
      </w:rPr>
      <mc:AlternateContent>
        <mc:Choice Requires="wps">
          <w:drawing>
            <wp:anchor distT="0" distB="0" distL="0" distR="0" simplePos="0" relativeHeight="251664388" behindDoc="0" locked="0" layoutInCell="1" allowOverlap="1" wp14:anchorId="6E6D68AA" wp14:editId="6B8EAB1A">
              <wp:simplePos x="635" y="635"/>
              <wp:positionH relativeFrom="page">
                <wp:align>center</wp:align>
              </wp:positionH>
              <wp:positionV relativeFrom="page">
                <wp:align>bottom</wp:align>
              </wp:positionV>
              <wp:extent cx="608965" cy="530225"/>
              <wp:effectExtent l="0" t="0" r="635" b="0"/>
              <wp:wrapNone/>
              <wp:docPr id="1715820947" name="Text Box 6"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E6D68AA" id="_x0000_t202" coordsize="21600,21600" o:spt="202" path="m,l,21600r21600,l21600,xe">
              <v:stroke joinstyle="miter"/>
              <v:path gradientshapeok="t" o:connecttype="rect"/>
            </v:shapetype>
            <v:shape id="Text Box 6" o:spid="_x0000_s1029" type="#_x0000_t202" alt="DCC Public" style="position:absolute;margin-left:0;margin-top:0;width:47.95pt;height:41.75pt;z-index:2516643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" filled="f" stroked="f">
              <v:fill o:detectmouseclick="t"/>
              <v:textbox style="mso-fit-shape-to-text:t" inset="0,0,0,15pt">
                <w:txbxContent>
                  <w:p w14:paraId="35BF839C" w14:textId="0F28D017"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p w14:paraId="678CA314" w14:textId="45A4E152" w:rsidR="002C6CD3" w:rsidRDefault="0097522F">
    <w:pPr>
      <w:pStyle w:val="Footer"/>
      <w:jc w:val="right"/>
    </w:pPr>
    <w:r>
      <w:fldChar w:fldCharType="begin"/>
    </w:r>
    <w:r>
      <w:instrText xml:space="preserve"> PAGE \* MERGEFORMAT </w:instrText>
    </w:r>
    <w:r>
      <w:fldChar w:fldCharType="separate"/>
    </w:r>
    <w:r w:rsidR="007D320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8C6A5" w14:textId="5E831C74" w:rsidR="007D3202" w:rsidRDefault="0033353B">
    <w:pPr>
      <w:pStyle w:val="Footer"/>
    </w:pPr>
    <w:r>
      <w:rPr>
        <w:noProof/>
      </w:rPr>
      <mc:AlternateContent>
        <mc:Choice Requires="wps">
          <w:drawing>
            <wp:anchor distT="0" distB="0" distL="0" distR="0" simplePos="0" relativeHeight="251662340" behindDoc="0" locked="0" layoutInCell="1" allowOverlap="1" wp14:anchorId="66E76488" wp14:editId="0974668D">
              <wp:simplePos x="635" y="635"/>
              <wp:positionH relativeFrom="page">
                <wp:align>center</wp:align>
              </wp:positionH>
              <wp:positionV relativeFrom="page">
                <wp:align>bottom</wp:align>
              </wp:positionV>
              <wp:extent cx="608965" cy="530225"/>
              <wp:effectExtent l="0" t="0" r="635" b="0"/>
              <wp:wrapNone/>
              <wp:docPr id="1368680783" name="Text Box 4" descr="DCC Public">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08965" cy="530225"/>
                      </a:xfrm>
                      <a:prstGeom prst="rect">
                        <a:avLst/>
                      </a:prstGeom>
                      <a:noFill/>
                      <a:ln>
                        <a:noFill/>
                      </a:ln>
                    </wps:spPr>
                    <wps:txbx>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6E76488" id="_x0000_t202" coordsize="21600,21600" o:spt="202" path="m,l,21600r21600,l21600,xe">
              <v:stroke joinstyle="miter"/>
              <v:path gradientshapeok="t" o:connecttype="rect"/>
            </v:shapetype>
            <v:shape id="Text Box 4" o:spid="_x0000_s1031" type="#_x0000_t202" alt="DCC Public" style="position:absolute;margin-left:0;margin-top:0;width:47.95pt;height:41.75pt;z-index:2516623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" filled="f" stroked="f">
              <v:fill o:detectmouseclick="t"/>
              <v:textbox style="mso-fit-shape-to-text:t" inset="0,0,0,15pt">
                <w:txbxContent>
                  <w:p w14:paraId="23E778FB" w14:textId="0218F22E" w:rsidR="0033353B" w:rsidRPr="0033353B" w:rsidRDefault="0033353B" w:rsidP="0033353B">
                    <w:pPr>
                      <w:spacing w:after="0"/>
                      <w:rPr>
                        <w:rFonts w:ascii="Calibri" w:eastAsia="Calibri" w:hAnsi="Calibri" w:cs="Calibri"/>
                        <w:noProof/>
                        <w:color w:val="FF0000"/>
                        <w:sz w:val="22"/>
                      </w:rPr>
                    </w:pPr>
                    <w:r w:rsidRPr="0033353B">
                      <w:rPr>
                        <w:rFonts w:ascii="Calibri" w:eastAsia="Calibri" w:hAnsi="Calibri" w:cs="Calibri"/>
                        <w:noProof/>
                        <w:color w:val="FF0000"/>
                        <w:sz w:val="22"/>
                      </w:rPr>
                      <w:t>DCC Public</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2A788" w14:textId="77777777" w:rsidR="004F0A4E" w:rsidRDefault="004F0A4E">
      <w:pPr>
        <w:spacing w:before="0" w:after="0" w:line="240" w:lineRule="auto"/>
      </w:pPr>
      <w:r>
        <w:separator/>
      </w:r>
    </w:p>
  </w:footnote>
  <w:footnote w:type="continuationSeparator" w:id="0">
    <w:p w14:paraId="1DB9F8E9" w14:textId="77777777" w:rsidR="004F0A4E" w:rsidRDefault="004F0A4E">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4471E" w14:textId="6B198D6C" w:rsidR="007D3202" w:rsidRDefault="0033353B">
    <w:pPr>
      <w:pStyle w:val="Header"/>
    </w:pPr>
    <w:r>
      <w:rPr>
        <w:noProof/>
      </w:rPr>
      <mc:AlternateContent>
        <mc:Choice Requires="wps">
          <w:drawing>
            <wp:anchor distT="0" distB="0" distL="0" distR="0" simplePos="0" relativeHeight="251660292" behindDoc="0" locked="0" layoutInCell="1" allowOverlap="1" wp14:anchorId="4E536178" wp14:editId="1C1B1A0A">
              <wp:simplePos x="635" y="635"/>
              <wp:positionH relativeFrom="page">
                <wp:align>center</wp:align>
              </wp:positionH>
              <wp:positionV relativeFrom="page">
                <wp:align>top</wp:align>
              </wp:positionV>
              <wp:extent cx="553720" cy="513715"/>
              <wp:effectExtent l="0" t="0" r="17780" b="635"/>
              <wp:wrapNone/>
              <wp:docPr id="150679196" name="Text Box 2"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E536178" id="_x0000_t202" coordsize="21600,21600" o:spt="202" path="m,l,21600r21600,l21600,xe">
              <v:stroke joinstyle="miter"/>
              <v:path gradientshapeok="t" o:connecttype="rect"/>
            </v:shapetype>
            <v:shape id="Text Box 2" o:spid="_x0000_s1026" type="#_x0000_t202" alt="DCC Public" style="position:absolute;margin-left:0;margin-top:0;width:43.6pt;height:40.45pt;z-index:25166029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" filled="f" stroked="f">
              <v:fill o:detectmouseclick="t"/>
              <v:textbox style="mso-fit-shape-to-text:t" inset="0,15pt,0,0">
                <w:txbxContent>
                  <w:p w14:paraId="756D84B8" w14:textId="058976DE"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CA312" w14:textId="059B0575" w:rsidR="002C6CD3" w:rsidRDefault="0033353B">
    <w:pPr>
      <w:pStyle w:val="Header"/>
      <w:contextualSpacing w:val="0"/>
    </w:pPr>
    <w:r>
      <w:rPr>
        <w:noProof/>
      </w:rPr>
      <mc:AlternateContent>
        <mc:Choice Requires="wps">
          <w:drawing>
            <wp:anchor distT="0" distB="0" distL="0" distR="0" simplePos="0" relativeHeight="251661316" behindDoc="0" locked="0" layoutInCell="1" allowOverlap="1" wp14:anchorId="272D14D9" wp14:editId="4E8F6515">
              <wp:simplePos x="635" y="635"/>
              <wp:positionH relativeFrom="page">
                <wp:align>center</wp:align>
              </wp:positionH>
              <wp:positionV relativeFrom="page">
                <wp:align>top</wp:align>
              </wp:positionV>
              <wp:extent cx="553720" cy="513715"/>
              <wp:effectExtent l="0" t="0" r="17780" b="635"/>
              <wp:wrapNone/>
              <wp:docPr id="1502688467" name="Text Box 3"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2D14D9" id="_x0000_t202" coordsize="21600,21600" o:spt="202" path="m,l,21600r21600,l21600,xe">
              <v:stroke joinstyle="miter"/>
              <v:path gradientshapeok="t" o:connecttype="rect"/>
            </v:shapetype>
            <v:shape id="Text Box 3" o:spid="_x0000_s1027" type="#_x0000_t202" alt="DCC Public" style="position:absolute;margin-left:0;margin-top:0;width:43.6pt;height:40.45pt;z-index:25166131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" filled="f" stroked="f">
              <v:fill o:detectmouseclick="t"/>
              <v:textbox style="mso-fit-shape-to-text:t" inset="0,15pt,0,0">
                <w:txbxContent>
                  <w:p w14:paraId="2BEF7B78" w14:textId="1D6079CC"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B3FCB" w14:textId="1ED3AB7E" w:rsidR="007D3202" w:rsidRDefault="0033353B">
    <w:pPr>
      <w:pStyle w:val="Header"/>
    </w:pPr>
    <w:r>
      <w:rPr>
        <w:noProof/>
      </w:rPr>
      <mc:AlternateContent>
        <mc:Choice Requires="wps">
          <w:drawing>
            <wp:anchor distT="0" distB="0" distL="0" distR="0" simplePos="0" relativeHeight="251659268" behindDoc="0" locked="0" layoutInCell="1" allowOverlap="1" wp14:anchorId="3966C9AE" wp14:editId="75399F69">
              <wp:simplePos x="635" y="635"/>
              <wp:positionH relativeFrom="page">
                <wp:align>center</wp:align>
              </wp:positionH>
              <wp:positionV relativeFrom="page">
                <wp:align>top</wp:align>
              </wp:positionV>
              <wp:extent cx="553720" cy="513715"/>
              <wp:effectExtent l="0" t="0" r="17780" b="635"/>
              <wp:wrapNone/>
              <wp:docPr id="495684470" name="Text Box 1" descr="DCC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3720" cy="513715"/>
                      </a:xfrm>
                      <a:prstGeom prst="rect">
                        <a:avLst/>
                      </a:prstGeom>
                      <a:noFill/>
                      <a:ln>
                        <a:noFill/>
                      </a:ln>
                    </wps:spPr>
                    <wps:txbx>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66C9AE" id="_x0000_t202" coordsize="21600,21600" o:spt="202" path="m,l,21600r21600,l21600,xe">
              <v:stroke joinstyle="miter"/>
              <v:path gradientshapeok="t" o:connecttype="rect"/>
            </v:shapetype>
            <v:shape id="Text Box 1" o:spid="_x0000_s1030" type="#_x0000_t202" alt="DCC Public" style="position:absolute;margin-left:0;margin-top:0;width:43.6pt;height:40.45pt;z-index:25165926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" filled="f" stroked="f">
              <v:fill o:detectmouseclick="t"/>
              <v:textbox style="mso-fit-shape-to-text:t" inset="0,15pt,0,0">
                <w:txbxContent>
                  <w:p w14:paraId="28F59FDB" w14:textId="72025AD7" w:rsidR="0033353B" w:rsidRPr="0033353B" w:rsidRDefault="0033353B" w:rsidP="0033353B">
                    <w:pPr>
                      <w:spacing w:after="0"/>
                      <w:rPr>
                        <w:rFonts w:ascii="Calibri" w:eastAsia="Calibri" w:hAnsi="Calibri" w:cs="Calibri"/>
                        <w:noProof/>
                        <w:color w:val="FF0000"/>
                        <w:sz w:val="20"/>
                        <w:szCs w:val="20"/>
                      </w:rPr>
                    </w:pPr>
                    <w:r w:rsidRPr="0033353B">
                      <w:rPr>
                        <w:rFonts w:ascii="Calibri" w:eastAsia="Calibri" w:hAnsi="Calibri" w:cs="Calibri"/>
                        <w:noProof/>
                        <w:color w:val="FF0000"/>
                        <w:sz w:val="20"/>
                        <w:szCs w:val="20"/>
                      </w:rPr>
                      <w:t>DCC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918D0"/>
    <w:multiLevelType w:val="multilevel"/>
    <w:tmpl w:val="2112F43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F2479A"/>
    <w:multiLevelType w:val="multilevel"/>
    <w:tmpl w:val="2CCA885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B34DF2"/>
    <w:multiLevelType w:val="multilevel"/>
    <w:tmpl w:val="E7AE85A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DB2EF3"/>
    <w:multiLevelType w:val="multilevel"/>
    <w:tmpl w:val="972E4C02"/>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6F33DA6"/>
    <w:multiLevelType w:val="multilevel"/>
    <w:tmpl w:val="A948A74A"/>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8"/>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E0E5358"/>
    <w:multiLevelType w:val="multilevel"/>
    <w:tmpl w:val="47A4F0D4"/>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3D05614"/>
    <w:multiLevelType w:val="multilevel"/>
    <w:tmpl w:val="28D00282"/>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DA4D71"/>
    <w:multiLevelType w:val="multilevel"/>
    <w:tmpl w:val="7C3EDD7C"/>
    <w:lvl w:ilvl="0">
      <w:start w:val="1"/>
      <w:numFmt w:val="upperLetter"/>
      <w:lvlText w:val="%1"/>
      <w:lvlJc w:val="left"/>
      <w:pPr>
        <w:ind w:hanging="7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6892FB7"/>
    <w:multiLevelType w:val="hybridMultilevel"/>
    <w:tmpl w:val="5A4EB9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8C6255F"/>
    <w:multiLevelType w:val="multilevel"/>
    <w:tmpl w:val="6464D39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F11AF7"/>
    <w:multiLevelType w:val="multilevel"/>
    <w:tmpl w:val="60AE6E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90B0326"/>
    <w:multiLevelType w:val="multilevel"/>
    <w:tmpl w:val="CABAD628"/>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5"/>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1CA8225B"/>
    <w:multiLevelType w:val="multilevel"/>
    <w:tmpl w:val="484E68F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CC8654B"/>
    <w:multiLevelType w:val="multilevel"/>
    <w:tmpl w:val="61FA1DB6"/>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DFF6FD3"/>
    <w:multiLevelType w:val="multilevel"/>
    <w:tmpl w:val="6F42A276"/>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7A4635"/>
    <w:multiLevelType w:val="multilevel"/>
    <w:tmpl w:val="29DE9D58"/>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517A68"/>
    <w:multiLevelType w:val="multilevel"/>
    <w:tmpl w:val="7D48C33A"/>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58F103C"/>
    <w:multiLevelType w:val="multilevel"/>
    <w:tmpl w:val="0F5EF7A4"/>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6E0520"/>
    <w:multiLevelType w:val="multilevel"/>
    <w:tmpl w:val="B9604642"/>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5"/>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4044E25"/>
    <w:multiLevelType w:val="multilevel"/>
    <w:tmpl w:val="3A368836"/>
    <w:lvl w:ilvl="0">
      <w:start w:val="1"/>
      <w:numFmt w:val="lowerRoman"/>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8122D72"/>
    <w:multiLevelType w:val="multilevel"/>
    <w:tmpl w:val="31B8D268"/>
    <w:lvl w:ilvl="0">
      <w:start w:val="11"/>
      <w:numFmt w:val="upperLetter"/>
      <w:lvlText w:val="%1"/>
      <w:lvlJc w:val="left"/>
      <w:pPr>
        <w:ind w:hanging="700"/>
        <w:contextualSpacing/>
      </w:pPr>
    </w:lvl>
    <w:lvl w:ilvl="1">
      <w:start w:val="3"/>
      <w:numFmt w:val="decimal"/>
      <w:lvlText w:val="%1%2."/>
      <w:lvlJc w:val="left"/>
      <w:pPr>
        <w:ind w:hanging="700"/>
        <w:contextualSpacing/>
      </w:pPr>
    </w:lvl>
    <w:lvl w:ilvl="2">
      <w:start w:val="16"/>
      <w:numFmt w:val="decimal"/>
      <w:lvlText w:val="%1%2.%3"/>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C3E3E35"/>
    <w:multiLevelType w:val="multilevel"/>
    <w:tmpl w:val="6BE23532"/>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1D63B01"/>
    <w:multiLevelType w:val="multilevel"/>
    <w:tmpl w:val="D070106E"/>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10"/>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4E3472C"/>
    <w:multiLevelType w:val="multilevel"/>
    <w:tmpl w:val="70DE5F6C"/>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5"/>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58FD258F"/>
    <w:multiLevelType w:val="multilevel"/>
    <w:tmpl w:val="6398169A"/>
    <w:lvl w:ilvl="0">
      <w:start w:val="11"/>
      <w:numFmt w:val="upperLetter"/>
      <w:lvlText w:val="%1"/>
      <w:lvlJc w:val="left"/>
      <w:pPr>
        <w:ind w:left="0" w:hanging="700"/>
      </w:pPr>
      <w:rPr>
        <w:rFonts w:hint="default"/>
      </w:rPr>
    </w:lvl>
    <w:lvl w:ilvl="1">
      <w:start w:val="7"/>
      <w:numFmt w:val="decimal"/>
      <w:lvlText w:val="%1%2."/>
      <w:lvlJc w:val="left"/>
      <w:pPr>
        <w:ind w:left="0" w:hanging="700"/>
      </w:pPr>
      <w:rPr>
        <w:rFonts w:hint="default"/>
      </w:rPr>
    </w:lvl>
    <w:lvl w:ilvl="2">
      <w:start w:val="6"/>
      <w:numFmt w:val="decimal"/>
      <w:lvlText w:val="%1%2.%3"/>
      <w:lvlJc w:val="left"/>
      <w:pPr>
        <w:ind w:left="0" w:hanging="700"/>
      </w:pPr>
      <w:rPr>
        <w:rFonts w:hint="default"/>
      </w:rPr>
    </w:lvl>
    <w:lvl w:ilvl="3">
      <w:start w:val="1"/>
      <w:numFmt w:val="lowerLetter"/>
      <w:lvlText w:val="(%4)"/>
      <w:lvlJc w:val="left"/>
      <w:pPr>
        <w:ind w:left="0" w:hanging="70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6518198E"/>
    <w:multiLevelType w:val="multilevel"/>
    <w:tmpl w:val="32BCB07E"/>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3"/>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7707E9D"/>
    <w:multiLevelType w:val="multilevel"/>
    <w:tmpl w:val="470C1B5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B3B0CBE"/>
    <w:multiLevelType w:val="multilevel"/>
    <w:tmpl w:val="19CC276C"/>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DD97C30"/>
    <w:multiLevelType w:val="multilevel"/>
    <w:tmpl w:val="045A2D92"/>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703C7101"/>
    <w:multiLevelType w:val="multilevel"/>
    <w:tmpl w:val="128CD674"/>
    <w:lvl w:ilvl="0">
      <w:start w:val="11"/>
      <w:numFmt w:val="upp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start w:val="1"/>
      <w:numFmt w:val="lowerRoman"/>
      <w:lvlText w:val="(%5)"/>
      <w:lvlJc w:val="left"/>
      <w:pPr>
        <w:ind w:hanging="700"/>
        <w:contextualSpacing/>
      </w:p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70BB7D78"/>
    <w:multiLevelType w:val="multilevel"/>
    <w:tmpl w:val="6F14E28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26F5CA4"/>
    <w:multiLevelType w:val="multilevel"/>
    <w:tmpl w:val="972028A0"/>
    <w:lvl w:ilvl="0">
      <w:start w:val="1"/>
      <w:numFmt w:val="lowerLetter"/>
      <w:lvlText w:val="%1."/>
      <w:lvlJc w:val="left"/>
      <w:pPr>
        <w:ind w:hanging="300"/>
        <w:contextualSpacing/>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614BD"/>
    <w:multiLevelType w:val="multilevel"/>
    <w:tmpl w:val="822C4F66"/>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240C7A"/>
    <w:multiLevelType w:val="multilevel"/>
    <w:tmpl w:val="A3823CD6"/>
    <w:lvl w:ilvl="0">
      <w:start w:val="11"/>
      <w:numFmt w:val="upperLetter"/>
      <w:lvlText w:val="%1"/>
      <w:lvlJc w:val="left"/>
      <w:pPr>
        <w:ind w:hanging="700"/>
        <w:contextualSpacing/>
      </w:pPr>
    </w:lvl>
    <w:lvl w:ilvl="1">
      <w:start w:val="7"/>
      <w:numFmt w:val="decimal"/>
      <w:lvlText w:val="%1%2."/>
      <w:lvlJc w:val="left"/>
      <w:pPr>
        <w:ind w:hanging="700"/>
        <w:contextualSpacing/>
      </w:pPr>
    </w:lvl>
    <w:lvl w:ilvl="2">
      <w:start w:val="6"/>
      <w:numFmt w:val="decimal"/>
      <w:lvlText w:val="%1%2.%3"/>
      <w:lvlJc w:val="left"/>
      <w:pPr>
        <w:ind w:hanging="700"/>
        <w:contextualSpacing/>
      </w:pPr>
    </w:lvl>
    <w:lvl w:ilvl="3">
      <w:start w:val="9"/>
      <w:numFmt w:val="lowerLetter"/>
      <w:lvlText w:val="(%4)a"/>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72A476E"/>
    <w:multiLevelType w:val="multilevel"/>
    <w:tmpl w:val="FFECBF2E"/>
    <w:lvl w:ilvl="0">
      <w:start w:val="11"/>
      <w:numFmt w:val="upperLetter"/>
      <w:lvlText w:val="%1"/>
      <w:lvlJc w:val="left"/>
      <w:pPr>
        <w:ind w:hanging="700"/>
        <w:contextualSpacing/>
      </w:pPr>
    </w:lvl>
    <w:lvl w:ilvl="1">
      <w:start w:val="10"/>
      <w:numFmt w:val="decimal"/>
      <w:lvlText w:val="%1%2."/>
      <w:lvlJc w:val="left"/>
      <w:pPr>
        <w:ind w:hanging="700"/>
        <w:contextualSpacing/>
      </w:pPr>
    </w:lvl>
    <w:lvl w:ilvl="2">
      <w:start w:val="7"/>
      <w:numFmt w:val="decimal"/>
      <w:lvlText w:val="%1%2.%3A"/>
      <w:lvlJc w:val="left"/>
      <w:pPr>
        <w:ind w:hanging="700"/>
        <w:contextualSpacing/>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88B2D46"/>
    <w:multiLevelType w:val="multilevel"/>
    <w:tmpl w:val="03D8E214"/>
    <w:lvl w:ilvl="0">
      <w:start w:val="11"/>
      <w:numFmt w:val="upperLetter"/>
      <w:lvlText w:val="%1"/>
      <w:lvlJc w:val="left"/>
      <w:pPr>
        <w:ind w:hanging="700"/>
        <w:contextualSpacing/>
      </w:pPr>
    </w:lvl>
    <w:lvl w:ilvl="1">
      <w:start w:val="5"/>
      <w:numFmt w:val="decimal"/>
      <w:lvlText w:val="%1%2."/>
      <w:lvlJc w:val="left"/>
      <w:pPr>
        <w:ind w:hanging="700"/>
        <w:contextualSpacing/>
      </w:pPr>
    </w:lvl>
    <w:lvl w:ilvl="2">
      <w:start w:val="2"/>
      <w:numFmt w:val="decimal"/>
      <w:lvlText w:val="%1%2.%3A"/>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D9E6173"/>
    <w:multiLevelType w:val="multilevel"/>
    <w:tmpl w:val="A4FE3B48"/>
    <w:lvl w:ilvl="0">
      <w:start w:val="11"/>
      <w:numFmt w:val="upperLetter"/>
      <w:lvlText w:val="%1"/>
      <w:lvlJc w:val="left"/>
      <w:pPr>
        <w:ind w:hanging="700"/>
        <w:contextualSpacing/>
      </w:pPr>
    </w:lvl>
    <w:lvl w:ilvl="1">
      <w:start w:val="6"/>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E706046"/>
    <w:multiLevelType w:val="hybridMultilevel"/>
    <w:tmpl w:val="336E8F2C"/>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8" w15:restartNumberingAfterBreak="0">
    <w:nsid w:val="7FD27A47"/>
    <w:multiLevelType w:val="multilevel"/>
    <w:tmpl w:val="89E469BA"/>
    <w:lvl w:ilvl="0">
      <w:start w:val="1"/>
      <w:numFmt w:val="lowerLetter"/>
      <w:lvlText w:val="(%1)"/>
      <w:lvlJc w:val="left"/>
      <w:pPr>
        <w:ind w:hanging="700"/>
        <w:contextualSpacing/>
      </w:pPr>
    </w:lvl>
    <w:lvl w:ilvl="1">
      <w:start w:val="1"/>
      <w:numFmt w:val="decimal"/>
      <w:lvlText w:val="(%1)%2."/>
      <w:lvlJc w:val="left"/>
      <w:pPr>
        <w:ind w:hanging="700"/>
        <w:contextualSpacing/>
      </w:pPr>
    </w:lvl>
    <w:lvl w:ilvl="2">
      <w:start w:val="1"/>
      <w:numFmt w:val="decimal"/>
      <w:lvlText w:val="(%1)%2.%3"/>
      <w:lvlJc w:val="left"/>
      <w:pPr>
        <w:ind w:hanging="700"/>
        <w:contextualSpacing/>
      </w:pPr>
    </w:lvl>
    <w:lvl w:ilvl="3">
      <w:start w:val="1"/>
      <w:numFmt w:val="lowerLetter"/>
      <w:lvlText w:val="(%4)"/>
      <w:lvlJc w:val="left"/>
      <w:pPr>
        <w:ind w:hanging="700"/>
        <w:contextualSpacing/>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7322702">
    <w:abstractNumId w:val="37"/>
  </w:num>
  <w:num w:numId="2" w16cid:durableId="1965190680">
    <w:abstractNumId w:val="8"/>
  </w:num>
  <w:num w:numId="3" w16cid:durableId="1600605431">
    <w:abstractNumId w:val="7"/>
  </w:num>
  <w:num w:numId="4" w16cid:durableId="634334013">
    <w:abstractNumId w:val="19"/>
  </w:num>
  <w:num w:numId="5" w16cid:durableId="59448070">
    <w:abstractNumId w:val="16"/>
  </w:num>
  <w:num w:numId="6" w16cid:durableId="1454204884">
    <w:abstractNumId w:val="2"/>
  </w:num>
  <w:num w:numId="7" w16cid:durableId="1556509739">
    <w:abstractNumId w:val="31"/>
  </w:num>
  <w:num w:numId="8" w16cid:durableId="1827551702">
    <w:abstractNumId w:val="21"/>
  </w:num>
  <w:num w:numId="9" w16cid:durableId="2127658011">
    <w:abstractNumId w:val="27"/>
  </w:num>
  <w:num w:numId="10" w16cid:durableId="323436839">
    <w:abstractNumId w:val="29"/>
  </w:num>
  <w:num w:numId="11" w16cid:durableId="225606979">
    <w:abstractNumId w:val="28"/>
  </w:num>
  <w:num w:numId="12" w16cid:durableId="560016875">
    <w:abstractNumId w:val="13"/>
  </w:num>
  <w:num w:numId="13" w16cid:durableId="854421871">
    <w:abstractNumId w:val="18"/>
  </w:num>
  <w:num w:numId="14" w16cid:durableId="2005740279">
    <w:abstractNumId w:val="20"/>
  </w:num>
  <w:num w:numId="15" w16cid:durableId="274793182">
    <w:abstractNumId w:val="10"/>
  </w:num>
  <w:num w:numId="16" w16cid:durableId="764691209">
    <w:abstractNumId w:val="14"/>
  </w:num>
  <w:num w:numId="17" w16cid:durableId="296180657">
    <w:abstractNumId w:val="35"/>
  </w:num>
  <w:num w:numId="18" w16cid:durableId="1570577570">
    <w:abstractNumId w:val="3"/>
  </w:num>
  <w:num w:numId="19" w16cid:durableId="426777772">
    <w:abstractNumId w:val="25"/>
  </w:num>
  <w:num w:numId="20" w16cid:durableId="1377587493">
    <w:abstractNumId w:val="5"/>
  </w:num>
  <w:num w:numId="21" w16cid:durableId="1829782154">
    <w:abstractNumId w:val="15"/>
  </w:num>
  <w:num w:numId="22" w16cid:durableId="300354706">
    <w:abstractNumId w:val="36"/>
  </w:num>
  <w:num w:numId="23" w16cid:durableId="1294022279">
    <w:abstractNumId w:val="32"/>
  </w:num>
  <w:num w:numId="24" w16cid:durableId="2144155440">
    <w:abstractNumId w:val="38"/>
  </w:num>
  <w:num w:numId="25" w16cid:durableId="821311878">
    <w:abstractNumId w:val="6"/>
  </w:num>
  <w:num w:numId="26" w16cid:durableId="1176576768">
    <w:abstractNumId w:val="23"/>
  </w:num>
  <w:num w:numId="27" w16cid:durableId="1653102027">
    <w:abstractNumId w:val="17"/>
  </w:num>
  <w:num w:numId="28" w16cid:durableId="517232492">
    <w:abstractNumId w:val="33"/>
  </w:num>
  <w:num w:numId="29" w16cid:durableId="287857791">
    <w:abstractNumId w:val="26"/>
  </w:num>
  <w:num w:numId="30" w16cid:durableId="1623999514">
    <w:abstractNumId w:val="0"/>
  </w:num>
  <w:num w:numId="31" w16cid:durableId="2064478765">
    <w:abstractNumId w:val="22"/>
  </w:num>
  <w:num w:numId="32" w16cid:durableId="907151085">
    <w:abstractNumId w:val="12"/>
  </w:num>
  <w:num w:numId="33" w16cid:durableId="1014958324">
    <w:abstractNumId w:val="34"/>
  </w:num>
  <w:num w:numId="34" w16cid:durableId="427308742">
    <w:abstractNumId w:val="1"/>
  </w:num>
  <w:num w:numId="35" w16cid:durableId="186646952">
    <w:abstractNumId w:val="4"/>
  </w:num>
  <w:num w:numId="36" w16cid:durableId="619730126">
    <w:abstractNumId w:val="11"/>
  </w:num>
  <w:num w:numId="37" w16cid:durableId="1714765474">
    <w:abstractNumId w:val="9"/>
  </w:num>
  <w:num w:numId="38" w16cid:durableId="2069835423">
    <w:abstractNumId w:val="24"/>
  </w:num>
  <w:num w:numId="39" w16cid:durableId="75617342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CD3"/>
    <w:rsid w:val="0000177C"/>
    <w:rsid w:val="00007158"/>
    <w:rsid w:val="0001357F"/>
    <w:rsid w:val="00020201"/>
    <w:rsid w:val="000204AC"/>
    <w:rsid w:val="00022367"/>
    <w:rsid w:val="00027491"/>
    <w:rsid w:val="000319B1"/>
    <w:rsid w:val="000321A3"/>
    <w:rsid w:val="00040EDC"/>
    <w:rsid w:val="00051EB6"/>
    <w:rsid w:val="00061EE0"/>
    <w:rsid w:val="000630A2"/>
    <w:rsid w:val="00064521"/>
    <w:rsid w:val="000648B6"/>
    <w:rsid w:val="000655D2"/>
    <w:rsid w:val="00067734"/>
    <w:rsid w:val="000703D5"/>
    <w:rsid w:val="000768E9"/>
    <w:rsid w:val="000937DC"/>
    <w:rsid w:val="000A0183"/>
    <w:rsid w:val="000B237A"/>
    <w:rsid w:val="000B5940"/>
    <w:rsid w:val="000B6A90"/>
    <w:rsid w:val="000C15F1"/>
    <w:rsid w:val="000C2C4D"/>
    <w:rsid w:val="000E0B95"/>
    <w:rsid w:val="000E2BEE"/>
    <w:rsid w:val="000E4E8C"/>
    <w:rsid w:val="000F16DE"/>
    <w:rsid w:val="000F41C2"/>
    <w:rsid w:val="000F4579"/>
    <w:rsid w:val="000F6651"/>
    <w:rsid w:val="001023FB"/>
    <w:rsid w:val="0010317A"/>
    <w:rsid w:val="00117C78"/>
    <w:rsid w:val="001263CC"/>
    <w:rsid w:val="0013584D"/>
    <w:rsid w:val="001460BD"/>
    <w:rsid w:val="00150BC0"/>
    <w:rsid w:val="00151024"/>
    <w:rsid w:val="00157CBD"/>
    <w:rsid w:val="00163A39"/>
    <w:rsid w:val="001644B2"/>
    <w:rsid w:val="00170C9E"/>
    <w:rsid w:val="00173A32"/>
    <w:rsid w:val="00177164"/>
    <w:rsid w:val="001775E6"/>
    <w:rsid w:val="00194692"/>
    <w:rsid w:val="001A3C40"/>
    <w:rsid w:val="001A444C"/>
    <w:rsid w:val="001A6313"/>
    <w:rsid w:val="001A642E"/>
    <w:rsid w:val="001A7638"/>
    <w:rsid w:val="001B4060"/>
    <w:rsid w:val="001B4350"/>
    <w:rsid w:val="001C5430"/>
    <w:rsid w:val="001C61B0"/>
    <w:rsid w:val="001F36BF"/>
    <w:rsid w:val="001F6F4C"/>
    <w:rsid w:val="00202D38"/>
    <w:rsid w:val="00207C15"/>
    <w:rsid w:val="00212996"/>
    <w:rsid w:val="00215716"/>
    <w:rsid w:val="002248E8"/>
    <w:rsid w:val="00234101"/>
    <w:rsid w:val="002347A5"/>
    <w:rsid w:val="00234B4C"/>
    <w:rsid w:val="0023595B"/>
    <w:rsid w:val="0024336C"/>
    <w:rsid w:val="00245CAF"/>
    <w:rsid w:val="002529E1"/>
    <w:rsid w:val="00253109"/>
    <w:rsid w:val="00257E3A"/>
    <w:rsid w:val="00270282"/>
    <w:rsid w:val="0027175C"/>
    <w:rsid w:val="0027400B"/>
    <w:rsid w:val="002755E2"/>
    <w:rsid w:val="002842FA"/>
    <w:rsid w:val="002A669A"/>
    <w:rsid w:val="002A6F8A"/>
    <w:rsid w:val="002B127E"/>
    <w:rsid w:val="002B1AC2"/>
    <w:rsid w:val="002B5413"/>
    <w:rsid w:val="002B553C"/>
    <w:rsid w:val="002C6CD3"/>
    <w:rsid w:val="002F2724"/>
    <w:rsid w:val="002F6F09"/>
    <w:rsid w:val="00310111"/>
    <w:rsid w:val="00316914"/>
    <w:rsid w:val="003204CB"/>
    <w:rsid w:val="0033287A"/>
    <w:rsid w:val="0033353B"/>
    <w:rsid w:val="00337494"/>
    <w:rsid w:val="0034119B"/>
    <w:rsid w:val="00360449"/>
    <w:rsid w:val="00361FF4"/>
    <w:rsid w:val="00383E97"/>
    <w:rsid w:val="003902A4"/>
    <w:rsid w:val="00397270"/>
    <w:rsid w:val="003A4433"/>
    <w:rsid w:val="003B365A"/>
    <w:rsid w:val="003B5B36"/>
    <w:rsid w:val="003B7F4F"/>
    <w:rsid w:val="003C1112"/>
    <w:rsid w:val="003C12EF"/>
    <w:rsid w:val="003C470F"/>
    <w:rsid w:val="003D4BF7"/>
    <w:rsid w:val="003E1DDC"/>
    <w:rsid w:val="003E601F"/>
    <w:rsid w:val="003E61CD"/>
    <w:rsid w:val="003F07E3"/>
    <w:rsid w:val="003F340D"/>
    <w:rsid w:val="003F5C98"/>
    <w:rsid w:val="003F779F"/>
    <w:rsid w:val="00402811"/>
    <w:rsid w:val="0040709A"/>
    <w:rsid w:val="004123D0"/>
    <w:rsid w:val="00413032"/>
    <w:rsid w:val="00417A04"/>
    <w:rsid w:val="00420C76"/>
    <w:rsid w:val="004257C2"/>
    <w:rsid w:val="004279F7"/>
    <w:rsid w:val="00427C64"/>
    <w:rsid w:val="0043387B"/>
    <w:rsid w:val="0044625A"/>
    <w:rsid w:val="004474F6"/>
    <w:rsid w:val="00462A3E"/>
    <w:rsid w:val="004633C1"/>
    <w:rsid w:val="004665AF"/>
    <w:rsid w:val="00471365"/>
    <w:rsid w:val="00477897"/>
    <w:rsid w:val="004907A0"/>
    <w:rsid w:val="00492A3C"/>
    <w:rsid w:val="004977E5"/>
    <w:rsid w:val="004A78AC"/>
    <w:rsid w:val="004B260F"/>
    <w:rsid w:val="004B327E"/>
    <w:rsid w:val="004B3430"/>
    <w:rsid w:val="004B38A6"/>
    <w:rsid w:val="004C17D5"/>
    <w:rsid w:val="004C534F"/>
    <w:rsid w:val="004D1AD4"/>
    <w:rsid w:val="004D1C7D"/>
    <w:rsid w:val="004E70CA"/>
    <w:rsid w:val="004F0A4E"/>
    <w:rsid w:val="004F1635"/>
    <w:rsid w:val="004F4FF8"/>
    <w:rsid w:val="004F5E3F"/>
    <w:rsid w:val="004F7510"/>
    <w:rsid w:val="00514256"/>
    <w:rsid w:val="0053238E"/>
    <w:rsid w:val="00533B0D"/>
    <w:rsid w:val="00533BB3"/>
    <w:rsid w:val="00543B22"/>
    <w:rsid w:val="00546578"/>
    <w:rsid w:val="00552FA3"/>
    <w:rsid w:val="00563991"/>
    <w:rsid w:val="00574843"/>
    <w:rsid w:val="00585261"/>
    <w:rsid w:val="0058537F"/>
    <w:rsid w:val="005856AA"/>
    <w:rsid w:val="00590AAE"/>
    <w:rsid w:val="005922D5"/>
    <w:rsid w:val="005A1AE0"/>
    <w:rsid w:val="005A4553"/>
    <w:rsid w:val="005A5747"/>
    <w:rsid w:val="005A57F6"/>
    <w:rsid w:val="005B1CC4"/>
    <w:rsid w:val="005B497B"/>
    <w:rsid w:val="005C6F88"/>
    <w:rsid w:val="005E02EA"/>
    <w:rsid w:val="005E6666"/>
    <w:rsid w:val="005F12B7"/>
    <w:rsid w:val="005F786E"/>
    <w:rsid w:val="006000E2"/>
    <w:rsid w:val="00603E0B"/>
    <w:rsid w:val="00604675"/>
    <w:rsid w:val="00620294"/>
    <w:rsid w:val="00624FEB"/>
    <w:rsid w:val="0063596E"/>
    <w:rsid w:val="00641631"/>
    <w:rsid w:val="00644AC7"/>
    <w:rsid w:val="00647130"/>
    <w:rsid w:val="00661327"/>
    <w:rsid w:val="00662C56"/>
    <w:rsid w:val="00665012"/>
    <w:rsid w:val="00670C50"/>
    <w:rsid w:val="00677799"/>
    <w:rsid w:val="00681704"/>
    <w:rsid w:val="006839E4"/>
    <w:rsid w:val="00684485"/>
    <w:rsid w:val="00685139"/>
    <w:rsid w:val="00697CE7"/>
    <w:rsid w:val="006A1C77"/>
    <w:rsid w:val="006A6FC1"/>
    <w:rsid w:val="006C020A"/>
    <w:rsid w:val="006C43EF"/>
    <w:rsid w:val="006C7979"/>
    <w:rsid w:val="006C7CD4"/>
    <w:rsid w:val="006D36D1"/>
    <w:rsid w:val="006D4693"/>
    <w:rsid w:val="006D6D65"/>
    <w:rsid w:val="006E1931"/>
    <w:rsid w:val="006F178B"/>
    <w:rsid w:val="006F2284"/>
    <w:rsid w:val="006F2CDE"/>
    <w:rsid w:val="00701C42"/>
    <w:rsid w:val="00704234"/>
    <w:rsid w:val="007144E5"/>
    <w:rsid w:val="00727422"/>
    <w:rsid w:val="00756391"/>
    <w:rsid w:val="00760508"/>
    <w:rsid w:val="007641D1"/>
    <w:rsid w:val="0077011A"/>
    <w:rsid w:val="00796A10"/>
    <w:rsid w:val="00797426"/>
    <w:rsid w:val="007A7F0A"/>
    <w:rsid w:val="007B3EAB"/>
    <w:rsid w:val="007B7CA5"/>
    <w:rsid w:val="007C4466"/>
    <w:rsid w:val="007C5953"/>
    <w:rsid w:val="007C6BE8"/>
    <w:rsid w:val="007D25F6"/>
    <w:rsid w:val="007D3202"/>
    <w:rsid w:val="007E2CB8"/>
    <w:rsid w:val="007E4C96"/>
    <w:rsid w:val="007F57E9"/>
    <w:rsid w:val="007F715C"/>
    <w:rsid w:val="00806556"/>
    <w:rsid w:val="008133F3"/>
    <w:rsid w:val="008145C2"/>
    <w:rsid w:val="008226EE"/>
    <w:rsid w:val="008230AA"/>
    <w:rsid w:val="00824207"/>
    <w:rsid w:val="00827320"/>
    <w:rsid w:val="00827A29"/>
    <w:rsid w:val="008429E4"/>
    <w:rsid w:val="0084533F"/>
    <w:rsid w:val="0085715F"/>
    <w:rsid w:val="00857585"/>
    <w:rsid w:val="008603AF"/>
    <w:rsid w:val="0086046B"/>
    <w:rsid w:val="00862F38"/>
    <w:rsid w:val="00873A5B"/>
    <w:rsid w:val="0088412C"/>
    <w:rsid w:val="008847E8"/>
    <w:rsid w:val="00893CE5"/>
    <w:rsid w:val="008C04AD"/>
    <w:rsid w:val="008C2B34"/>
    <w:rsid w:val="008D2A7A"/>
    <w:rsid w:val="008D776B"/>
    <w:rsid w:val="008E096E"/>
    <w:rsid w:val="008E537C"/>
    <w:rsid w:val="008F084F"/>
    <w:rsid w:val="008F472B"/>
    <w:rsid w:val="009035F8"/>
    <w:rsid w:val="009059B1"/>
    <w:rsid w:val="00907086"/>
    <w:rsid w:val="00907620"/>
    <w:rsid w:val="009148B0"/>
    <w:rsid w:val="009174F4"/>
    <w:rsid w:val="00923126"/>
    <w:rsid w:val="00930D9A"/>
    <w:rsid w:val="009343CD"/>
    <w:rsid w:val="00941471"/>
    <w:rsid w:val="009426EB"/>
    <w:rsid w:val="009512F5"/>
    <w:rsid w:val="00952ACF"/>
    <w:rsid w:val="00953214"/>
    <w:rsid w:val="00970EA1"/>
    <w:rsid w:val="009719B1"/>
    <w:rsid w:val="00972B19"/>
    <w:rsid w:val="0097522F"/>
    <w:rsid w:val="00976FD0"/>
    <w:rsid w:val="009866DA"/>
    <w:rsid w:val="009A5EE8"/>
    <w:rsid w:val="009B45F5"/>
    <w:rsid w:val="009B6075"/>
    <w:rsid w:val="009C32BA"/>
    <w:rsid w:val="009C5BEE"/>
    <w:rsid w:val="009C7D5F"/>
    <w:rsid w:val="009D0E0B"/>
    <w:rsid w:val="009D1C27"/>
    <w:rsid w:val="009D512E"/>
    <w:rsid w:val="009D5D59"/>
    <w:rsid w:val="009E10F5"/>
    <w:rsid w:val="00A00348"/>
    <w:rsid w:val="00A05E4C"/>
    <w:rsid w:val="00A07085"/>
    <w:rsid w:val="00A07C0D"/>
    <w:rsid w:val="00A20F5E"/>
    <w:rsid w:val="00A31E39"/>
    <w:rsid w:val="00A32E00"/>
    <w:rsid w:val="00A538F7"/>
    <w:rsid w:val="00A6432B"/>
    <w:rsid w:val="00A70510"/>
    <w:rsid w:val="00A7162C"/>
    <w:rsid w:val="00A72C08"/>
    <w:rsid w:val="00A7684C"/>
    <w:rsid w:val="00A77720"/>
    <w:rsid w:val="00A84C36"/>
    <w:rsid w:val="00A92D8A"/>
    <w:rsid w:val="00AB12F1"/>
    <w:rsid w:val="00AB5B4A"/>
    <w:rsid w:val="00AB615D"/>
    <w:rsid w:val="00AB79E0"/>
    <w:rsid w:val="00AC03CC"/>
    <w:rsid w:val="00AC1641"/>
    <w:rsid w:val="00AC4403"/>
    <w:rsid w:val="00AC558C"/>
    <w:rsid w:val="00AD188F"/>
    <w:rsid w:val="00AD23F3"/>
    <w:rsid w:val="00AD414B"/>
    <w:rsid w:val="00AE2B2F"/>
    <w:rsid w:val="00AE61E9"/>
    <w:rsid w:val="00AE70C7"/>
    <w:rsid w:val="00B10052"/>
    <w:rsid w:val="00B21165"/>
    <w:rsid w:val="00B251FF"/>
    <w:rsid w:val="00B25BBA"/>
    <w:rsid w:val="00B37D19"/>
    <w:rsid w:val="00B52796"/>
    <w:rsid w:val="00B616C4"/>
    <w:rsid w:val="00B7155F"/>
    <w:rsid w:val="00B71EA8"/>
    <w:rsid w:val="00B768D7"/>
    <w:rsid w:val="00B833BB"/>
    <w:rsid w:val="00B9441E"/>
    <w:rsid w:val="00BA3AC2"/>
    <w:rsid w:val="00BA4AE4"/>
    <w:rsid w:val="00BB1633"/>
    <w:rsid w:val="00BB6425"/>
    <w:rsid w:val="00BB6EE0"/>
    <w:rsid w:val="00BC1767"/>
    <w:rsid w:val="00BC3614"/>
    <w:rsid w:val="00BC5F4B"/>
    <w:rsid w:val="00BC6FC7"/>
    <w:rsid w:val="00BD23F4"/>
    <w:rsid w:val="00BF19EF"/>
    <w:rsid w:val="00C0139B"/>
    <w:rsid w:val="00C135B1"/>
    <w:rsid w:val="00C146AA"/>
    <w:rsid w:val="00C15AA4"/>
    <w:rsid w:val="00C21BBE"/>
    <w:rsid w:val="00C225A4"/>
    <w:rsid w:val="00C2452F"/>
    <w:rsid w:val="00C3189C"/>
    <w:rsid w:val="00C365F1"/>
    <w:rsid w:val="00C36C16"/>
    <w:rsid w:val="00C3711F"/>
    <w:rsid w:val="00C40FAF"/>
    <w:rsid w:val="00C42739"/>
    <w:rsid w:val="00C51DCF"/>
    <w:rsid w:val="00C57130"/>
    <w:rsid w:val="00C64053"/>
    <w:rsid w:val="00C64B44"/>
    <w:rsid w:val="00C7252B"/>
    <w:rsid w:val="00C7379D"/>
    <w:rsid w:val="00C77F0E"/>
    <w:rsid w:val="00C90E61"/>
    <w:rsid w:val="00C92290"/>
    <w:rsid w:val="00CA0223"/>
    <w:rsid w:val="00CA110F"/>
    <w:rsid w:val="00CA1714"/>
    <w:rsid w:val="00CA1D7E"/>
    <w:rsid w:val="00CA4A91"/>
    <w:rsid w:val="00CB3F82"/>
    <w:rsid w:val="00CC36C5"/>
    <w:rsid w:val="00CC5A3E"/>
    <w:rsid w:val="00CC79F2"/>
    <w:rsid w:val="00CD1727"/>
    <w:rsid w:val="00CD21BB"/>
    <w:rsid w:val="00CD2D1F"/>
    <w:rsid w:val="00CD3322"/>
    <w:rsid w:val="00CD70D1"/>
    <w:rsid w:val="00D12E7D"/>
    <w:rsid w:val="00D258B7"/>
    <w:rsid w:val="00D44FF2"/>
    <w:rsid w:val="00D50E43"/>
    <w:rsid w:val="00D52511"/>
    <w:rsid w:val="00D7170B"/>
    <w:rsid w:val="00D85938"/>
    <w:rsid w:val="00DA03A3"/>
    <w:rsid w:val="00DA224A"/>
    <w:rsid w:val="00DA28C5"/>
    <w:rsid w:val="00DA5AEF"/>
    <w:rsid w:val="00DA62B1"/>
    <w:rsid w:val="00DA7186"/>
    <w:rsid w:val="00DB67A8"/>
    <w:rsid w:val="00DC034D"/>
    <w:rsid w:val="00DC54BE"/>
    <w:rsid w:val="00DC550F"/>
    <w:rsid w:val="00DD3188"/>
    <w:rsid w:val="00DD39DC"/>
    <w:rsid w:val="00DD67AC"/>
    <w:rsid w:val="00DD7EC6"/>
    <w:rsid w:val="00DE3FB1"/>
    <w:rsid w:val="00DF1429"/>
    <w:rsid w:val="00DF1A9A"/>
    <w:rsid w:val="00DF7DE6"/>
    <w:rsid w:val="00E00B2A"/>
    <w:rsid w:val="00E01056"/>
    <w:rsid w:val="00E126BC"/>
    <w:rsid w:val="00E14B51"/>
    <w:rsid w:val="00E32007"/>
    <w:rsid w:val="00E324E9"/>
    <w:rsid w:val="00E35E34"/>
    <w:rsid w:val="00E4010E"/>
    <w:rsid w:val="00E46653"/>
    <w:rsid w:val="00E55C42"/>
    <w:rsid w:val="00E55DA4"/>
    <w:rsid w:val="00E625CA"/>
    <w:rsid w:val="00E65156"/>
    <w:rsid w:val="00E66083"/>
    <w:rsid w:val="00E76A0B"/>
    <w:rsid w:val="00E771D9"/>
    <w:rsid w:val="00E81C4E"/>
    <w:rsid w:val="00E91395"/>
    <w:rsid w:val="00E93798"/>
    <w:rsid w:val="00EA41F8"/>
    <w:rsid w:val="00EA6BF5"/>
    <w:rsid w:val="00EB0AF8"/>
    <w:rsid w:val="00EB4E05"/>
    <w:rsid w:val="00EB681E"/>
    <w:rsid w:val="00EF1A48"/>
    <w:rsid w:val="00EF42BC"/>
    <w:rsid w:val="00EF71BB"/>
    <w:rsid w:val="00F10056"/>
    <w:rsid w:val="00F10CDB"/>
    <w:rsid w:val="00F15993"/>
    <w:rsid w:val="00F20F8D"/>
    <w:rsid w:val="00F22678"/>
    <w:rsid w:val="00F24236"/>
    <w:rsid w:val="00F24567"/>
    <w:rsid w:val="00F31118"/>
    <w:rsid w:val="00F33E2A"/>
    <w:rsid w:val="00F33FAA"/>
    <w:rsid w:val="00F420C0"/>
    <w:rsid w:val="00F43412"/>
    <w:rsid w:val="00F467FD"/>
    <w:rsid w:val="00F6477D"/>
    <w:rsid w:val="00F771FF"/>
    <w:rsid w:val="00F779BE"/>
    <w:rsid w:val="00F81568"/>
    <w:rsid w:val="00F86975"/>
    <w:rsid w:val="00F942E1"/>
    <w:rsid w:val="00FA010C"/>
    <w:rsid w:val="00FA3766"/>
    <w:rsid w:val="00FA595D"/>
    <w:rsid w:val="00FB0110"/>
    <w:rsid w:val="00FB04E6"/>
    <w:rsid w:val="00FB10AD"/>
    <w:rsid w:val="00FC63EC"/>
    <w:rsid w:val="00FC644E"/>
    <w:rsid w:val="00FD4E46"/>
    <w:rsid w:val="00FD69CA"/>
    <w:rsid w:val="00FE194C"/>
    <w:rsid w:val="00FE642D"/>
    <w:rsid w:val="00FF1BD3"/>
    <w:rsid w:val="00FF47B2"/>
    <w:rsid w:val="00FF6AF6"/>
    <w:rsid w:val="21B6D446"/>
    <w:rsid w:val="32AF4433"/>
    <w:rsid w:val="3A59D4D5"/>
    <w:rsid w:val="45A7813C"/>
    <w:rsid w:val="4A79895E"/>
    <w:rsid w:val="4DB20325"/>
    <w:rsid w:val="599954C8"/>
    <w:rsid w:val="664BE023"/>
    <w:rsid w:val="6BB94B69"/>
    <w:rsid w:val="76AEC15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8C9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link w:val="InlineNormal"/>
    <w:pPr>
      <w:spacing w:before="240" w:after="240" w:line="264" w:lineRule="auto"/>
    </w:pPr>
    <w:rPr>
      <w:rFonts w:ascii="Expert Sans" w:hAnsi="Expert Sans" w:cs="Expert Sans"/>
      <w:color w:val="000000"/>
      <w:sz w:val="19"/>
      <w:u w:color="000000"/>
    </w:rPr>
  </w:style>
  <w:style w:type="paragraph" w:styleId="Heading1">
    <w:name w:val="heading 1"/>
    <w:link w:val="Heading1Char"/>
    <w:pPr>
      <w:keepNext/>
      <w:spacing w:before="240" w:after="240" w:line="264" w:lineRule="auto"/>
      <w:outlineLvl w:val="0"/>
    </w:pPr>
    <w:rPr>
      <w:rFonts w:ascii="Expert Sans" w:hAnsi="Expert Sans" w:cs="Expert Sans"/>
      <w:b/>
      <w:color w:val="000000"/>
      <w:sz w:val="24"/>
      <w:u w:color="000000"/>
    </w:rPr>
  </w:style>
  <w:style w:type="paragraph" w:styleId="Heading2">
    <w:name w:val="heading 2"/>
    <w:link w:val="Heading2Char"/>
    <w:pPr>
      <w:keepNext/>
      <w:spacing w:before="240" w:after="240" w:line="264" w:lineRule="auto"/>
      <w:outlineLvl w:val="1"/>
    </w:pPr>
    <w:rPr>
      <w:rFonts w:ascii="Expert Sans" w:hAnsi="Expert Sans" w:cs="Expert Sans"/>
      <w:b/>
      <w:color w:val="000000"/>
      <w:sz w:val="21"/>
      <w:u w:val="single" w:color="000000"/>
    </w:rPr>
  </w:style>
  <w:style w:type="paragraph" w:styleId="Heading3">
    <w:name w:val="heading 3"/>
    <w:link w:val="Heading3Char"/>
    <w:pPr>
      <w:keepNext/>
      <w:spacing w:before="240" w:after="240" w:line="264" w:lineRule="auto"/>
      <w:outlineLvl w:val="2"/>
    </w:pPr>
    <w:rPr>
      <w:rFonts w:ascii="Expert Sans" w:hAnsi="Expert Sans" w:cs="Expert Sans"/>
      <w:b/>
      <w:color w:val="000000"/>
      <w:sz w:val="21"/>
      <w:u w:color="000000"/>
    </w:rPr>
  </w:style>
  <w:style w:type="paragraph" w:styleId="Heading4">
    <w:name w:val="heading 4"/>
    <w:link w:val="Heading4Char"/>
    <w:pPr>
      <w:keepNext/>
      <w:spacing w:before="240" w:after="240" w:line="264" w:lineRule="auto"/>
      <w:outlineLvl w:val="3"/>
    </w:pPr>
    <w:rPr>
      <w:rFonts w:ascii="Expert Sans" w:hAnsi="Expert Sans" w:cs="Expert Sans"/>
      <w:color w:val="000000"/>
      <w:sz w:val="21"/>
      <w:u w:val="single" w:color="000000"/>
    </w:rPr>
  </w:style>
  <w:style w:type="paragraph" w:styleId="Heading5">
    <w:name w:val="heading 5"/>
    <w:link w:val="Heading5Char"/>
    <w:pPr>
      <w:keepNext/>
      <w:spacing w:before="240" w:after="240" w:line="264" w:lineRule="auto"/>
      <w:outlineLvl w:val="4"/>
    </w:pPr>
    <w:rPr>
      <w:rFonts w:ascii="Expert Sans" w:hAnsi="Expert Sans" w:cs="Expert Sans"/>
      <w:color w:val="1DAFEC"/>
      <w:sz w:val="19"/>
      <w:u w:color="1DAFEC"/>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spacing w:before="0"/>
      <w:contextualSpacing/>
    </w:pPr>
  </w:style>
  <w:style w:type="paragraph" w:styleId="Footer">
    <w:name w:val="footer"/>
    <w:basedOn w:val="Normal"/>
    <w:pPr>
      <w:spacing w:after="0"/>
      <w:contextualSpacing/>
    </w:pPr>
  </w:style>
  <w:style w:type="paragraph" w:customStyle="1" w:styleId="TitlePage">
    <w:name w:val="TitlePage"/>
    <w:basedOn w:val="Normal"/>
    <w:pPr>
      <w:contextualSpacing/>
    </w:pPr>
  </w:style>
  <w:style w:type="paragraph" w:customStyle="1" w:styleId="TableParagraphNormal">
    <w:name w:val="TableParagraphNormal"/>
    <w:basedOn w:val="Normal"/>
    <w:pPr>
      <w:spacing w:before="60" w:after="60"/>
      <w:contextualSpacing/>
    </w:pPr>
  </w:style>
  <w:style w:type="paragraph" w:customStyle="1" w:styleId="FootnoteParagraph">
    <w:name w:val="FootnoteParagraph"/>
    <w:basedOn w:val="Normal"/>
    <w:pPr>
      <w:spacing w:before="60" w:after="60"/>
    </w:pPr>
  </w:style>
  <w:style w:type="paragraph" w:styleId="TOCHeading">
    <w:name w:val="TOC Heading"/>
    <w:link w:val="TOCHeadingChar"/>
    <w:pPr>
      <w:keepNext/>
      <w:spacing w:before="240" w:after="240" w:line="264" w:lineRule="auto"/>
    </w:pPr>
    <w:rPr>
      <w:rFonts w:ascii="Expert Sans" w:hAnsi="Expert Sans" w:cs="Expert Sans"/>
      <w:b/>
      <w:color w:val="000000"/>
      <w:sz w:val="24"/>
      <w:u w:color="000000"/>
    </w:rPr>
  </w:style>
  <w:style w:type="paragraph" w:customStyle="1" w:styleId="MetadataParagraph">
    <w:name w:val="MetadataParagraph"/>
    <w:basedOn w:val="Normal"/>
    <w:pPr>
      <w:spacing w:before="30" w:after="30"/>
      <w:contextualSpacing/>
    </w:pPr>
  </w:style>
  <w:style w:type="paragraph" w:styleId="TOC1">
    <w:name w:val="toc 1"/>
    <w:basedOn w:val="Normal"/>
    <w:uiPriority w:val="39"/>
    <w:pPr>
      <w:spacing w:before="60" w:after="60"/>
    </w:pPr>
  </w:style>
  <w:style w:type="paragraph" w:styleId="TOC2">
    <w:name w:val="toc 2"/>
    <w:basedOn w:val="Normal"/>
    <w:uiPriority w:val="39"/>
    <w:pPr>
      <w:spacing w:before="60" w:after="60"/>
      <w:ind w:left="300"/>
    </w:pPr>
  </w:style>
  <w:style w:type="paragraph" w:styleId="TOC3">
    <w:name w:val="toc 3"/>
    <w:basedOn w:val="Normal"/>
    <w:uiPriority w:val="39"/>
    <w:pPr>
      <w:spacing w:before="60" w:after="60"/>
      <w:ind w:left="600"/>
    </w:pPr>
  </w:style>
  <w:style w:type="paragraph" w:styleId="TOC4">
    <w:name w:val="toc 4"/>
    <w:basedOn w:val="Normal"/>
    <w:pPr>
      <w:spacing w:before="60" w:after="60"/>
      <w:ind w:left="900"/>
    </w:pPr>
  </w:style>
  <w:style w:type="paragraph" w:styleId="TOC5">
    <w:name w:val="toc 5"/>
    <w:basedOn w:val="Normal"/>
    <w:pPr>
      <w:spacing w:before="60" w:after="60"/>
      <w:ind w:left="1200"/>
    </w:pPr>
  </w:style>
  <w:style w:type="paragraph" w:styleId="TOC6">
    <w:name w:val="toc 6"/>
    <w:basedOn w:val="Normal"/>
    <w:pPr>
      <w:spacing w:before="60" w:after="60"/>
      <w:ind w:left="1500"/>
    </w:pPr>
  </w:style>
  <w:style w:type="paragraph" w:styleId="TOC7">
    <w:name w:val="toc 7"/>
    <w:basedOn w:val="Normal"/>
    <w:pPr>
      <w:spacing w:before="60" w:after="60"/>
      <w:ind w:left="1800"/>
    </w:pPr>
  </w:style>
  <w:style w:type="paragraph" w:styleId="TOC8">
    <w:name w:val="toc 8"/>
    <w:basedOn w:val="Normal"/>
    <w:pPr>
      <w:spacing w:before="60" w:after="60"/>
      <w:ind w:left="2100"/>
    </w:pPr>
  </w:style>
  <w:style w:type="paragraph" w:styleId="TOC9">
    <w:name w:val="toc 9"/>
    <w:basedOn w:val="Normal"/>
    <w:pPr>
      <w:spacing w:before="60" w:after="60"/>
      <w:ind w:left="2400"/>
    </w:pPr>
  </w:style>
  <w:style w:type="character" w:styleId="Hyperlink">
    <w:name w:val="Hyperlink"/>
    <w:uiPriority w:val="99"/>
    <w:rPr>
      <w:color w:val="337AB7"/>
      <w:u w:color="337AB7"/>
    </w:rPr>
  </w:style>
  <w:style w:type="character" w:customStyle="1" w:styleId="FootnoteText">
    <w:name w:val="FootnoteText"/>
    <w:basedOn w:val="InlineNormal"/>
    <w:rPr>
      <w:rFonts w:ascii="Expert Sans" w:hAnsi="Expert Sans" w:cs="Expert Sans"/>
      <w:color w:val="000000"/>
      <w:sz w:val="15"/>
      <w:u w:color="000000"/>
    </w:rPr>
  </w:style>
  <w:style w:type="character" w:customStyle="1" w:styleId="FootnoteReference">
    <w:name w:val="FootnoteReference"/>
    <w:rPr>
      <w:vertAlign w:val="superscript"/>
    </w:rPr>
  </w:style>
  <w:style w:type="character" w:customStyle="1" w:styleId="FootnoteHyperlink">
    <w:name w:val="FootnoteHyperlink"/>
    <w:basedOn w:val="FootnoteText"/>
    <w:rPr>
      <w:rFonts w:ascii="Expert Sans" w:hAnsi="Expert Sans" w:cs="Expert Sans"/>
      <w:color w:val="337AB7"/>
      <w:sz w:val="15"/>
      <w:u w:color="337AB7"/>
    </w:rPr>
  </w:style>
  <w:style w:type="character" w:customStyle="1" w:styleId="TOCHeadingChar">
    <w:name w:val="TOC Heading Char"/>
    <w:link w:val="TOCHeading"/>
    <w:rPr>
      <w:rFonts w:ascii="Expert Sans" w:hAnsi="Expert Sans" w:cs="Expert Sans"/>
      <w:b/>
      <w:color w:val="000000"/>
      <w:sz w:val="24"/>
      <w:u w:color="000000"/>
    </w:rPr>
  </w:style>
  <w:style w:type="character" w:customStyle="1" w:styleId="InlineNormal">
    <w:name w:val="InlineNormal"/>
    <w:rPr>
      <w:rFonts w:ascii="Expert Sans" w:hAnsi="Expert Sans" w:cs="Expert Sans"/>
      <w:color w:val="000000"/>
      <w:sz w:val="19"/>
      <w:u w:color="000000"/>
    </w:rPr>
  </w:style>
  <w:style w:type="character" w:customStyle="1" w:styleId="Heading1Char">
    <w:name w:val="Heading 1 Char"/>
    <w:link w:val="Heading1"/>
    <w:rPr>
      <w:rFonts w:ascii="Expert Sans" w:hAnsi="Expert Sans" w:cs="Expert Sans"/>
      <w:b/>
      <w:color w:val="000000"/>
      <w:sz w:val="24"/>
      <w:u w:color="000000"/>
    </w:rPr>
  </w:style>
  <w:style w:type="character" w:customStyle="1" w:styleId="Heading2Char">
    <w:name w:val="Heading 2 Char"/>
    <w:link w:val="Heading2"/>
    <w:rPr>
      <w:rFonts w:ascii="Expert Sans" w:hAnsi="Expert Sans" w:cs="Expert Sans"/>
      <w:b/>
      <w:color w:val="000000"/>
      <w:sz w:val="21"/>
      <w:u w:val="single" w:color="000000"/>
    </w:rPr>
  </w:style>
  <w:style w:type="character" w:customStyle="1" w:styleId="Heading3Char">
    <w:name w:val="Heading 3 Char"/>
    <w:link w:val="Heading3"/>
    <w:rPr>
      <w:rFonts w:ascii="Expert Sans" w:hAnsi="Expert Sans" w:cs="Expert Sans"/>
      <w:b/>
      <w:color w:val="000000"/>
      <w:sz w:val="21"/>
      <w:u w:color="000000"/>
    </w:rPr>
  </w:style>
  <w:style w:type="character" w:customStyle="1" w:styleId="Heading4Char">
    <w:name w:val="Heading 4 Char"/>
    <w:link w:val="Heading4"/>
    <w:rPr>
      <w:rFonts w:ascii="Expert Sans" w:hAnsi="Expert Sans" w:cs="Expert Sans"/>
      <w:color w:val="000000"/>
      <w:sz w:val="21"/>
      <w:u w:val="single" w:color="000000"/>
    </w:rPr>
  </w:style>
  <w:style w:type="character" w:customStyle="1" w:styleId="Heading5Char">
    <w:name w:val="Heading 5 Char"/>
    <w:link w:val="Heading5"/>
    <w:rPr>
      <w:rFonts w:ascii="Expert Sans" w:hAnsi="Expert Sans" w:cs="Expert Sans"/>
      <w:color w:val="1DAFEC"/>
      <w:sz w:val="19"/>
      <w:u w:color="1DAFEC"/>
    </w:rPr>
  </w:style>
  <w:style w:type="character" w:styleId="CommentReference">
    <w:name w:val="annotation reference"/>
    <w:basedOn w:val="DefaultParagraphFont"/>
    <w:uiPriority w:val="99"/>
    <w:semiHidden/>
    <w:unhideWhenUsed/>
    <w:rsid w:val="007D3202"/>
    <w:rPr>
      <w:sz w:val="16"/>
      <w:szCs w:val="16"/>
    </w:rPr>
  </w:style>
  <w:style w:type="paragraph" w:styleId="CommentText">
    <w:name w:val="annotation text"/>
    <w:basedOn w:val="Normal"/>
    <w:link w:val="CommentTextChar"/>
    <w:uiPriority w:val="99"/>
    <w:unhideWhenUsed/>
    <w:rsid w:val="007D3202"/>
    <w:pPr>
      <w:spacing w:line="240" w:lineRule="auto"/>
    </w:pPr>
    <w:rPr>
      <w:sz w:val="20"/>
      <w:szCs w:val="20"/>
    </w:rPr>
  </w:style>
  <w:style w:type="character" w:customStyle="1" w:styleId="CommentTextChar">
    <w:name w:val="Comment Text Char"/>
    <w:basedOn w:val="DefaultParagraphFont"/>
    <w:link w:val="CommentText"/>
    <w:uiPriority w:val="99"/>
    <w:rsid w:val="007D3202"/>
    <w:rPr>
      <w:rFonts w:ascii="Expert Sans" w:hAnsi="Expert Sans" w:cs="Expert Sans"/>
      <w:color w:val="000000"/>
      <w:sz w:val="20"/>
      <w:szCs w:val="20"/>
      <w:u w:color="000000"/>
    </w:rPr>
  </w:style>
  <w:style w:type="paragraph" w:styleId="CommentSubject">
    <w:name w:val="annotation subject"/>
    <w:basedOn w:val="CommentText"/>
    <w:next w:val="CommentText"/>
    <w:link w:val="CommentSubjectChar"/>
    <w:uiPriority w:val="99"/>
    <w:semiHidden/>
    <w:unhideWhenUsed/>
    <w:rsid w:val="007D3202"/>
    <w:rPr>
      <w:b/>
      <w:bCs/>
    </w:rPr>
  </w:style>
  <w:style w:type="character" w:customStyle="1" w:styleId="CommentSubjectChar">
    <w:name w:val="Comment Subject Char"/>
    <w:basedOn w:val="CommentTextChar"/>
    <w:link w:val="CommentSubject"/>
    <w:uiPriority w:val="99"/>
    <w:semiHidden/>
    <w:rsid w:val="007D3202"/>
    <w:rPr>
      <w:rFonts w:ascii="Expert Sans" w:hAnsi="Expert Sans" w:cs="Expert Sans"/>
      <w:b/>
      <w:bCs/>
      <w:color w:val="000000"/>
      <w:sz w:val="20"/>
      <w:szCs w:val="20"/>
      <w:u w:color="000000"/>
    </w:rPr>
  </w:style>
  <w:style w:type="paragraph" w:styleId="Revision">
    <w:name w:val="Revision"/>
    <w:hidden/>
    <w:uiPriority w:val="99"/>
    <w:unhideWhenUsed/>
    <w:rsid w:val="004123D0"/>
    <w:pPr>
      <w:spacing w:after="0" w:line="240" w:lineRule="auto"/>
    </w:pPr>
    <w:rPr>
      <w:rFonts w:ascii="Expert Sans" w:hAnsi="Expert Sans" w:cs="Expert Sans"/>
      <w:color w:val="000000"/>
      <w:sz w:val="19"/>
      <w:u w:color="000000"/>
    </w:rPr>
  </w:style>
  <w:style w:type="character" w:styleId="Mention">
    <w:name w:val="Mention"/>
    <w:basedOn w:val="DefaultParagraphFont"/>
    <w:uiPriority w:val="99"/>
    <w:unhideWhenUsed/>
    <w:rsid w:val="00EA6BF5"/>
    <w:rPr>
      <w:color w:val="2B579A"/>
      <w:shd w:val="clear" w:color="auto" w:fill="E1DFDD"/>
    </w:rPr>
  </w:style>
  <w:style w:type="paragraph" w:styleId="ListParagraph">
    <w:name w:val="List Paragraph"/>
    <w:basedOn w:val="Normal"/>
    <w:uiPriority w:val="99"/>
    <w:unhideWhenUsed/>
    <w:rsid w:val="002B541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roperties xmlns="http://www.imanage.com/work/xmlschema">
  <documentid>Legal01!67147027.1</documentid>
  <senderid>RKR</senderid>
  <senderemail>RAVI.RANDHAWA@UK.GOWLINGWLG.COM</senderemail>
  <lastmodified>2025-10-27T17:27:00.0000000+00:00</lastmodified>
  <database>Legal01</database>
</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D92B00EFDEEAE479DC6E4BBBC4DC642" ma:contentTypeVersion="19" ma:contentTypeDescription="Create a new document." ma:contentTypeScope="" ma:versionID="348fa8bae721bf48efdfb57e819500ed">
  <xsd:schema xmlns:xsd="http://www.w3.org/2001/XMLSchema" xmlns:xs="http://www.w3.org/2001/XMLSchema" xmlns:p="http://schemas.microsoft.com/office/2006/metadata/properties" xmlns:ns2="e8a1de29-914b-4261-8471-9d36de65d539" xmlns:ns3="d7916470-bd19-409f-9659-46df29f638c0" xmlns:ns4="caadc02b-7cc9-4736-8b89-7694a3a12b48" xmlns:ns5="af099861-8497-4a35-8ea8-f127fb0f0918" targetNamespace="http://schemas.microsoft.com/office/2006/metadata/properties" ma:root="true" ma:fieldsID="fc016fbbdc5ec5421786cb044fee18e2" ns2:_="" ns3:_="" ns4:_="" ns5:_="">
    <xsd:import namespace="e8a1de29-914b-4261-8471-9d36de65d539"/>
    <xsd:import namespace="d7916470-bd19-409f-9659-46df29f638c0"/>
    <xsd:import namespace="caadc02b-7cc9-4736-8b89-7694a3a12b48"/>
    <xsd:import namespace="af099861-8497-4a35-8ea8-f127fb0f091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AutoKeyPoints" minOccurs="0"/>
                <xsd:element ref="ns2:MediaServiceKeyPoints" minOccurs="0"/>
                <xsd:element ref="ns3:SharedWithUsers" minOccurs="0"/>
                <xsd:element ref="ns3:SharedWithDetails" minOccurs="0"/>
                <xsd:element ref="ns4:MediaServiceOCR" minOccurs="0"/>
                <xsd:element ref="ns4:MediaServiceGenerationTime" minOccurs="0"/>
                <xsd:element ref="ns4:MediaServiceEventHashCode" minOccurs="0"/>
                <xsd:element ref="ns4:MediaServiceObjectDetectorVersions" minOccurs="0"/>
                <xsd:element ref="ns4:lcf76f155ced4ddcb4097134ff3c332f" minOccurs="0"/>
                <xsd:element ref="ns5:TaxCatchAll" minOccurs="0"/>
                <xsd:element ref="ns4:MediaServiceSearchProperties" minOccurs="0"/>
                <xsd:element ref="ns4:MediaLengthInSeconds" minOccurs="0"/>
                <xsd:element ref="ns4: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8a1de29-914b-4261-8471-9d36de65d5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916470-bd19-409f-9659-46df29f638c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adc02b-7cc9-4736-8b89-7694a3a12b48" elementFormDefault="qualified">
    <xsd:import namespace="http://schemas.microsoft.com/office/2006/documentManagement/types"/>
    <xsd:import namespace="http://schemas.microsoft.com/office/infopath/2007/PartnerControls"/>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0e1c6c84-f403-4bbd-88d7-452781fd505b"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Year" ma:index="25" nillable="true" ma:displayName="Year" ma:format="Dropdown" ma:internalName="Year">
      <xsd:simpleType>
        <xsd:restriction base="dms:Choice">
          <xsd:enumeration value="2021"/>
          <xsd:enumeration value="2022"/>
          <xsd:enumeration value="2023"/>
          <xsd:enumeration value="2024"/>
          <xsd:enumeration value="2025"/>
        </xsd:restriction>
      </xsd:simpleType>
    </xsd:element>
  </xsd:schema>
  <xsd:schema xmlns:xsd="http://www.w3.org/2001/XMLSchema" xmlns:xs="http://www.w3.org/2001/XMLSchema" xmlns:dms="http://schemas.microsoft.com/office/2006/documentManagement/types" xmlns:pc="http://schemas.microsoft.com/office/infopath/2007/PartnerControls" targetNamespace="af099861-8497-4a35-8ea8-f127fb0f091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3d7113c5-3454-40c5-b18f-10d8eb14f486}" ma:internalName="TaxCatchAll" ma:showField="CatchAllData" ma:web="d7916470-bd19-409f-9659-46df29f63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Year xmlns="caadc02b-7cc9-4736-8b89-7694a3a12b48" xsi:nil="true"/>
    <SharedWithUsers xmlns="d7916470-bd19-409f-9659-46df29f638c0">
      <UserInfo>
        <DisplayName/>
        <AccountId xsi:nil="true"/>
        <AccountType/>
      </UserInfo>
    </SharedWithUsers>
    <lcf76f155ced4ddcb4097134ff3c332f xmlns="caadc02b-7cc9-4736-8b89-7694a3a12b48">
      <Terms xmlns="http://schemas.microsoft.com/office/infopath/2007/PartnerControls"/>
    </lcf76f155ced4ddcb4097134ff3c332f>
    <TaxCatchAll xmlns="af099861-8497-4a35-8ea8-f127fb0f0918" xsi:nil="true"/>
  </documentManagement>
</p:properties>
</file>

<file path=customXml/itemProps1.xml><?xml version="1.0" encoding="utf-8"?>
<ds:datastoreItem xmlns:ds="http://schemas.openxmlformats.org/officeDocument/2006/customXml" ds:itemID="{D9CEFC79-0823-42B2-97BD-2431A65A0FF3}">
  <ds:schemaRefs>
    <ds:schemaRef ds:uri="http://www.imanage.com/work/xmlschema"/>
  </ds:schemaRefs>
</ds:datastoreItem>
</file>

<file path=customXml/itemProps2.xml><?xml version="1.0" encoding="utf-8"?>
<ds:datastoreItem xmlns:ds="http://schemas.openxmlformats.org/officeDocument/2006/customXml" ds:itemID="{51894B8E-3FB2-455C-9DB7-2B4F7A15789F}"/>
</file>

<file path=customXml/itemProps3.xml><?xml version="1.0" encoding="utf-8"?>
<ds:datastoreItem xmlns:ds="http://schemas.openxmlformats.org/officeDocument/2006/customXml" ds:itemID="{44FDE50E-E79B-417F-BBB2-DF944B95ECB8}"/>
</file>

<file path=customXml/itemProps4.xml><?xml version="1.0" encoding="utf-8"?>
<ds:datastoreItem xmlns:ds="http://schemas.openxmlformats.org/officeDocument/2006/customXml" ds:itemID="{FB330DC5-78D4-4A9B-9C21-83F692A481C1}"/>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2199</Words>
  <Characters>12537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2025-10-31T09:46:00Z</dcterms:created>
  <dcterms:modified xsi:type="dcterms:W3CDTF">2025-10-31T09:46:00Z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1d8b8b76,8fb2e9c,599134d3</vt:lpwstr>
  </property>
  <property fmtid="{D5CDD505-2E9C-101B-9397-08002B2CF9AE}" pid="3" name="ClassificationContentMarkingHeaderFontProps">
    <vt:lpwstr>#ff0000,10,Calibri</vt:lpwstr>
  </property>
  <property fmtid="{D5CDD505-2E9C-101B-9397-08002B2CF9AE}" pid="4" name="ClassificationContentMarkingHeaderText">
    <vt:lpwstr>DCC Public</vt:lpwstr>
  </property>
  <property fmtid="{D5CDD505-2E9C-101B-9397-08002B2CF9AE}" pid="5" name="ClassificationContentMarkingFooterShapeIds">
    <vt:lpwstr>5194694f,3ca3f730,66455993</vt:lpwstr>
  </property>
  <property fmtid="{D5CDD505-2E9C-101B-9397-08002B2CF9AE}" pid="6" name="ClassificationContentMarkingFooterFontProps">
    <vt:lpwstr>#ff0000,11,Calibri</vt:lpwstr>
  </property>
  <property fmtid="{D5CDD505-2E9C-101B-9397-08002B2CF9AE}" pid="7" name="ClassificationContentMarkingFooterText">
    <vt:lpwstr>DCC Public</vt:lpwstr>
  </property>
  <property fmtid="{D5CDD505-2E9C-101B-9397-08002B2CF9AE}" pid="8" name="MSIP_Label_263a3b24-e67a-4f5f-98f1-0c05faed4f4c_Enabled">
    <vt:lpwstr>true</vt:lpwstr>
  </property>
  <property fmtid="{D5CDD505-2E9C-101B-9397-08002B2CF9AE}" pid="9" name="MSIP_Label_263a3b24-e67a-4f5f-98f1-0c05faed4f4c_SetDate">
    <vt:lpwstr>2025-10-31T09:46:39Z</vt:lpwstr>
  </property>
  <property fmtid="{D5CDD505-2E9C-101B-9397-08002B2CF9AE}" pid="10" name="MSIP_Label_263a3b24-e67a-4f5f-98f1-0c05faed4f4c_Method">
    <vt:lpwstr>Privileged</vt:lpwstr>
  </property>
  <property fmtid="{D5CDD505-2E9C-101B-9397-08002B2CF9AE}" pid="11" name="MSIP_Label_263a3b24-e67a-4f5f-98f1-0c05faed4f4c_Name">
    <vt:lpwstr>DCC Public</vt:lpwstr>
  </property>
  <property fmtid="{D5CDD505-2E9C-101B-9397-08002B2CF9AE}" pid="12" name="MSIP_Label_263a3b24-e67a-4f5f-98f1-0c05faed4f4c_SiteId">
    <vt:lpwstr>d77ea84a-f7fd-4928-b8a3-64763b0a7710</vt:lpwstr>
  </property>
  <property fmtid="{D5CDD505-2E9C-101B-9397-08002B2CF9AE}" pid="13" name="MSIP_Label_263a3b24-e67a-4f5f-98f1-0c05faed4f4c_ActionId">
    <vt:lpwstr>07a67d0f-e8f4-4be1-8545-6ba4ba63bdf1</vt:lpwstr>
  </property>
  <property fmtid="{D5CDD505-2E9C-101B-9397-08002B2CF9AE}" pid="14" name="MSIP_Label_263a3b24-e67a-4f5f-98f1-0c05faed4f4c_ContentBits">
    <vt:lpwstr>3</vt:lpwstr>
  </property>
  <property fmtid="{D5CDD505-2E9C-101B-9397-08002B2CF9AE}" pid="15" name="MSIP_Label_263a3b24-e67a-4f5f-98f1-0c05faed4f4c_Tag">
    <vt:lpwstr>10, 0, 1, 1</vt:lpwstr>
  </property>
  <property fmtid="{D5CDD505-2E9C-101B-9397-08002B2CF9AE}" pid="16" name="Business Unit">
    <vt:lpwstr>1;#Delivery|125c2427-d936-4032-b69a-60fc431a04d2</vt:lpwstr>
  </property>
  <property fmtid="{D5CDD505-2E9C-101B-9397-08002B2CF9AE}" pid="17" name="MSIP_Label_ba62f585-b40f-4ab9-bafe-39150f03d124_SiteId">
    <vt:lpwstr>cbac7005-02c1-43eb-b497-e6492d1b2dd8</vt:lpwstr>
  </property>
  <property fmtid="{D5CDD505-2E9C-101B-9397-08002B2CF9AE}" pid="18" name="Order">
    <vt:r8>109500</vt:r8>
  </property>
  <property fmtid="{D5CDD505-2E9C-101B-9397-08002B2CF9AE}" pid="19" name="MSIP_Label_ba62f585-b40f-4ab9-bafe-39150f03d124_Method">
    <vt:lpwstr>Standard</vt:lpwstr>
  </property>
  <property fmtid="{D5CDD505-2E9C-101B-9397-08002B2CF9AE}" pid="20" name="tikitDocRef">
    <vt:lpwstr>LEGAL01#67147027v1[RKR]</vt:lpwstr>
  </property>
  <property fmtid="{D5CDD505-2E9C-101B-9397-08002B2CF9AE}" pid="21" name="MSIP_Label_8a2b8bca-8558-4eb0-9160-cb4de095652d_Tag">
    <vt:lpwstr>10, 0, 1, 1</vt:lpwstr>
  </property>
  <property fmtid="{D5CDD505-2E9C-101B-9397-08002B2CF9AE}" pid="22" name="MediaServiceImageTags">
    <vt:lpwstr/>
  </property>
  <property fmtid="{D5CDD505-2E9C-101B-9397-08002B2CF9AE}" pid="23" name="MSIP_Label_ba62f585-b40f-4ab9-bafe-39150f03d124_ContentBits">
    <vt:lpwstr>3</vt:lpwstr>
  </property>
  <property fmtid="{D5CDD505-2E9C-101B-9397-08002B2CF9AE}" pid="24" name="MSIP_Label_ba62f585-b40f-4ab9-bafe-39150f03d124_Name">
    <vt:lpwstr>OFFICIAL</vt:lpwstr>
  </property>
  <property fmtid="{D5CDD505-2E9C-101B-9397-08002B2CF9AE}" pid="25" name="ContentTypeId">
    <vt:lpwstr>0x0101004D92B00EFDEEAE479DC6E4BBBC4DC642</vt:lpwstr>
  </property>
  <property fmtid="{D5CDD505-2E9C-101B-9397-08002B2CF9AE}" pid="26" name="ComplianceAssetId">
    <vt:lpwstr/>
  </property>
  <property fmtid="{D5CDD505-2E9C-101B-9397-08002B2CF9AE}" pid="27" name="MSIP_Label_ba62f585-b40f-4ab9-bafe-39150f03d124_Tag">
    <vt:lpwstr>10, 3, 0, 1</vt:lpwstr>
  </property>
  <property fmtid="{D5CDD505-2E9C-101B-9397-08002B2CF9AE}" pid="28" name="MSIP_Label_8a2b8bca-8558-4eb0-9160-cb4de095652d_Name">
    <vt:lpwstr>DCC_Controlled</vt:lpwstr>
  </property>
  <property fmtid="{D5CDD505-2E9C-101B-9397-08002B2CF9AE}" pid="29" name="_ExtendedDescription">
    <vt:lpwstr/>
  </property>
  <property fmtid="{D5CDD505-2E9C-101B-9397-08002B2CF9AE}" pid="30" name="MSIP_Label_8a2b8bca-8558-4eb0-9160-cb4de095652d_Enabled">
    <vt:lpwstr>true</vt:lpwstr>
  </property>
  <property fmtid="{D5CDD505-2E9C-101B-9397-08002B2CF9AE}" pid="31" name="MSIP_Label_ba62f585-b40f-4ab9-bafe-39150f03d124_ActionId">
    <vt:lpwstr>d3a39850-126e-433f-8a52-34c3724aae9d</vt:lpwstr>
  </property>
  <property fmtid="{D5CDD505-2E9C-101B-9397-08002B2CF9AE}" pid="32" name="MSIP_Label_8a2b8bca-8558-4eb0-9160-cb4de095652d_SiteId">
    <vt:lpwstr>d77ea84a-f7fd-4928-b8a3-64763b0a7710</vt:lpwstr>
  </property>
  <property fmtid="{D5CDD505-2E9C-101B-9397-08002B2CF9AE}" pid="33" name="MSIP_Label_8a2b8bca-8558-4eb0-9160-cb4de095652d_ContentBits">
    <vt:lpwstr>3</vt:lpwstr>
  </property>
  <property fmtid="{D5CDD505-2E9C-101B-9397-08002B2CF9AE}" pid="34" name="MSIP_Label_8a2b8bca-8558-4eb0-9160-cb4de095652d_Method">
    <vt:lpwstr>Privileged</vt:lpwstr>
  </property>
  <property fmtid="{D5CDD505-2E9C-101B-9397-08002B2CF9AE}" pid="35" name="MSIP_Label_8a2b8bca-8558-4eb0-9160-cb4de095652d_SetDate">
    <vt:lpwstr>2025-07-04T13:57:18Z</vt:lpwstr>
  </property>
  <property fmtid="{D5CDD505-2E9C-101B-9397-08002B2CF9AE}" pid="36" name="MSIP_Label_ba62f585-b40f-4ab9-bafe-39150f03d124_Enabled">
    <vt:lpwstr>true</vt:lpwstr>
  </property>
  <property fmtid="{D5CDD505-2E9C-101B-9397-08002B2CF9AE}" pid="37" name="MSIP_Label_8a2b8bca-8558-4eb0-9160-cb4de095652d_ActionId">
    <vt:lpwstr>2001b8e4-0b70-4bad-ab69-65a2f4d7bb0f</vt:lpwstr>
  </property>
  <property fmtid="{D5CDD505-2E9C-101B-9397-08002B2CF9AE}" pid="38" name="_dlc_DocIdItemGuid">
    <vt:lpwstr>cd1d6b0f-b2da-4bd7-a295-455c24d16f9f</vt:lpwstr>
  </property>
  <property fmtid="{D5CDD505-2E9C-101B-9397-08002B2CF9AE}" pid="39" name="MSIP_Label_ba62f585-b40f-4ab9-bafe-39150f03d124_SetDate">
    <vt:lpwstr>2025-06-16T12:22:10Z</vt:lpwstr>
  </property>
  <property fmtid="{D5CDD505-2E9C-101B-9397-08002B2CF9AE}" pid="40" name="TriggerFlowInfo">
    <vt:lpwstr/>
  </property>
</Properties>
</file>